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76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ПОВІДОМЛЕННЯ ПРО НАМІР ОТРИМАТИ ДОЗВІЛ НА ВИКИДИ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ТОВАРИСТВО З ОБМЕЖЕНОЮ ВІДПОВІДАЛЬНІСТЮ «СІЛЬСЬКОГОСПОДАРСЬКЕ ТОВАРИСТВО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АГРОДІМ.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(ТОВ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СП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АГРОДІМ.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, код ЄДРПОУ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44269128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, юридична адреса: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16520, Чернігівська обл., Ніжинський р-н, с. Городище, вул. Перемоги, 79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тел.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+38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046 294 20 60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e-mail: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info</w:t>
      </w:r>
      <w:r>
        <w:rPr>
          <w:rFonts w:ascii="Times New Roman" w:hAnsi="Times New Roman" w:cs="Times New Roman"/>
          <w:sz w:val="26"/>
          <w:szCs w:val="26"/>
        </w:rPr>
        <w:t xml:space="preserve">@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agrodim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ua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Обʼєкт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розташований за адрес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ами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виробнича база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16502, Чернігівська обл., Ніжинський р-н, м.Бахмач, вул.Даньківський шлях, 75, 82, 83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зерносклади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16520, Чернігівська обл., Ніжинський р-н, с.Тиниця, вул.Паркова, 2а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ток, МТП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16520, Чернігівська обл., Ніжинський р-н, с. Городище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склад хімічних добрив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16502, Чернігівська обл., Ніжинський р-н, м.Бахмач, вул.Тиницька, 17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val="uk-UA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Метою отримання дозволу на викиди є надання права експлуатувати об’єкт, з якого надходять в атмос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Згідно вимог Закону України «Про оцінку впливу на довкілля» діяльність обʼєкту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ТОВ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«СП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АГРОДІМ.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не підлягає оцінці впливу на довкілля.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ТОВ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«СП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АГРОДІМ.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займається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вирощування зернових культур, олійних та бобових культур;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надання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м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послуг по збиранню, доробці та зберіганню сільськогосподарської продукції;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оброблення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м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насіння для відтворення.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На території 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val="uk-UA" w:eastAsia="ru-RU"/>
        </w:rPr>
        <w:t xml:space="preserve">виробничої бази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здійснюються операції з технічного обслуговування, зберігання та заправки власної автотракторної та автотранспортної техніки. Також здійснюється зберігання зернових.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Джерелами утворення забруднюючих речовин є: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металообробні верстати, вулканізатор, зварювальний апарат, ємності зберігання палива, паливо-роздаткова колонка, котлоагрегати, джерела аварійного забезпечення електрикою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, зерносклади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та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автотранспорт.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та споруд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до атмосферного повітря викидаються: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речовини у вигляді суспендованих твердих частинок (мікрочастинки та волокна)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–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0,3835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т/рік,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оксиди азоту (у перерахунку на діоксид азоту [NO+NO2]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0,1571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сірки діоксид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т/рік; оксид вуглецю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0,1602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алізо та його сполуки (у перерахунку на залізо)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0,0004 т/рік; 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анган та його сполуки (у перерахунку на діоксид мангану)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0,00004 т/рік; етилену оксид – 0,0000006 т/рік; водню хлорид (соляна кислота за молекулою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HCl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 – 0,0000025 т/рік;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неметанові леткі органічні сполуки (НМЛОС)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0,0409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метан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0,00362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азоту (1) оксид [N2O]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0,00275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вуглецю діоксид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78,177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Валовий викид становить (без врахування вуглецю діоксиду) становить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0,7505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т/рік.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На території 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val="uk-UA" w:eastAsia="ru-RU"/>
        </w:rPr>
        <w:t xml:space="preserve">току та МТП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здійснюються операції зі доробки та зберігання зернових, технічного обслуговування, зберігання та заправки власної автотракторної та автотранспортної техніки. Джерелами утворення забруднюючих речовин є: металообробні верстати, зварювальний апарат, ємнос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ті зберігання палива, паливо-роздаткові колонки, зерноочищувальні сепаратори, зернодробарка, деревообробні верстати, обладнання їдальні (духові шафи, мийки, електропечі, тістоміс) котлоагрегати, джерела аварійного забезпечення електрикою та автотранспорт.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та споруд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до атмосферного повітря викидаються: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речовини у вигляді суспендованих твердих частинок (мікрочастинки та волокна)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–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2,1422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т/рік,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оксиди азоту (у перерахунку на діоксид азоту [NO+NO2]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0,8295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сірки діоксид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0,089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оксид вуглецю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0,2397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алізо та його сполуки (у перерахунку на залізо)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0,00207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анган та його сполуки (у перерахунку на діоксид мангану)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0,000205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хром та його сполуки (у перерахунку на три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ксид хрому)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0,0000002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акролеїн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0,000006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ацетальдегід – 0,001 т/рік; кислота оцтова – 0,004 т/рік;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неметанові леткі органічні сполуки (НМЛОС)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0,5877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метан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0,0054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натрію гідрооксид – 0,001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азоту (1) оксид [N2O]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0,0059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вуглецю діоксид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163,141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Валовий викид становить (без врахування вуглецю діоксиду) становить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3,908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т/рік.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На території 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val="uk-UA" w:eastAsia="ru-RU"/>
        </w:rPr>
        <w:t xml:space="preserve">зерноскладів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здійснюються операції зберігання зернових. Джерелами утворення забруднюючих речовин є зерносклади та твердопаливний котел.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та споруд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до атмосферного повітря викидаються: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речовини у вигляді суспендованих твердих частинок (мікрочастинки та волокна)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–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0,077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т/рік,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оксиди азоту (у перерахунку на діоксид азоту [NO+NO2]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0,012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оксид вуглецю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0,012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неметанові леткі органічні сполуки (НМЛОС)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0,003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метан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0,0003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азоту (1) оксид [N2O]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0,0002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вуглецю діоксид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6,349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Валовий викид становить (без врахування вуглецю діоксиду) становить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0,1045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т/рік.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На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території 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склад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у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хімічних добрив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здійснюється зберігання мінеральних добрив та засобів захисту рослин. Джерелами утворення забруднюючих речовин є: лінія наливу/зливу аміаку безводного, резерв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уар зберігання КАС, місце зливу/наливу КАС, котлоагрегати та автотранспорт.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та споруд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до атмосферного повітря викидаються: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речовини у вигляді суспендованих твердих частинок (мікрочастинки та волокна)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–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0,046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т/рік,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оксиди азоту (у перерахунку на діоксид азоту [NO+NO2]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0,032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оксид вуглецю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0,032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неметанові леткі органічні сполуки (НМЛОС)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0,008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аміак – 0,1509 т/рік;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метан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0,0008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азоту (1) оксид [N2O]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0,0006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вуглецю діоксид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17,016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Валовий викид становить (без врахування вуглецю діоксиду) становить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0,2703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т/рік.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По ступеню впливу на забруднення атмосферного повітря об’єкт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віднос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я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ться до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третьої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групи, як об’єкт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, як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і не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взят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і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на державний облік і не ма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ють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r>
    </w:p>
    <w:p>
      <w:pPr>
        <w:pBdr/>
        <w:spacing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>
        <w:rPr>
          <w:rFonts w:ascii="Times New Roman" w:hAnsi="Times New Roman" w:eastAsia="Times New Roman" w:cs="Times New Roman"/>
          <w:b/>
          <w:sz w:val="26"/>
          <w:szCs w:val="26"/>
          <w:lang w:val="uk-UA" w:eastAsia="ru-RU"/>
        </w:rPr>
        <w:t xml:space="preserve">Чернігівської обласної державної адміністрації: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 xml:space="preserve">14000, м.Чернігів, вул. Шевченка, 7, тел.+38 (0462) 67-50-24, е-mail: post@regadm.gov.ua.</w:t>
      </w:r>
      <w:r>
        <w:rPr>
          <w:sz w:val="26"/>
          <w:szCs w:val="26"/>
        </w:rPr>
      </w:r>
    </w:p>
    <w:sectPr>
      <w:footnotePr/>
      <w:endnotePr/>
      <w:type w:val="nextPage"/>
      <w:pgSz w:h="16838" w:orient="portrait" w:w="11906"/>
      <w:pgMar w:top="568" w:right="850" w:bottom="1134" w:left="993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Anonymous</cp:lastModifiedBy>
  <cp:revision>26</cp:revision>
  <dcterms:created xsi:type="dcterms:W3CDTF">2024-01-25T14:20:00Z</dcterms:created>
  <dcterms:modified xsi:type="dcterms:W3CDTF">2024-09-23T11:58:22Z</dcterms:modified>
</cp:coreProperties>
</file>