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ED" w:rsidRPr="0005445A" w:rsidRDefault="009077ED" w:rsidP="009077ED">
      <w:pPr>
        <w:spacing w:after="0"/>
        <w:ind w:left="9923"/>
        <w:rPr>
          <w:rFonts w:ascii="Times New Roman" w:hAnsi="Times New Roman"/>
          <w:sz w:val="28"/>
          <w:szCs w:val="28"/>
          <w:lang w:val="uk-UA"/>
        </w:rPr>
      </w:pPr>
      <w:r w:rsidRPr="0005445A"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9077ED" w:rsidRPr="0005445A" w:rsidRDefault="009077ED" w:rsidP="009077ED">
      <w:pPr>
        <w:spacing w:after="0"/>
        <w:ind w:left="9923"/>
        <w:rPr>
          <w:rFonts w:ascii="Times New Roman" w:hAnsi="Times New Roman"/>
          <w:sz w:val="28"/>
          <w:szCs w:val="28"/>
          <w:lang w:val="uk-UA"/>
        </w:rPr>
      </w:pPr>
      <w:r w:rsidRPr="0005445A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9077ED" w:rsidRPr="0005445A" w:rsidRDefault="009077ED" w:rsidP="009077ED">
      <w:pPr>
        <w:spacing w:after="0"/>
        <w:ind w:left="9923"/>
        <w:rPr>
          <w:rFonts w:ascii="Times New Roman" w:hAnsi="Times New Roman"/>
          <w:sz w:val="28"/>
          <w:szCs w:val="28"/>
          <w:lang w:val="uk-UA"/>
        </w:rPr>
      </w:pPr>
      <w:r w:rsidRPr="0005445A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9077ED" w:rsidRPr="0005445A" w:rsidRDefault="009077ED" w:rsidP="009077ED">
      <w:pPr>
        <w:spacing w:after="0"/>
        <w:ind w:left="9923"/>
        <w:rPr>
          <w:rFonts w:ascii="Times New Roman" w:hAnsi="Times New Roman"/>
          <w:sz w:val="28"/>
          <w:szCs w:val="28"/>
          <w:lang w:val="uk-UA"/>
        </w:rPr>
      </w:pPr>
      <w:r w:rsidRPr="0005445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5445A" w:rsidRPr="0005445A">
        <w:rPr>
          <w:rFonts w:ascii="Times New Roman" w:hAnsi="Times New Roman"/>
          <w:sz w:val="28"/>
          <w:szCs w:val="28"/>
          <w:lang w:val="uk-UA"/>
        </w:rPr>
        <w:t>18 січня 2021 року № 42</w:t>
      </w:r>
    </w:p>
    <w:p w:rsidR="001C7BCB" w:rsidRPr="0005445A" w:rsidRDefault="001C7BCB" w:rsidP="004505B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C7BCB" w:rsidRDefault="001C7BCB" w:rsidP="004505B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7484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об’єктів археології, що заносяться </w:t>
      </w:r>
    </w:p>
    <w:p w:rsidR="001C7BCB" w:rsidRPr="0037484C" w:rsidRDefault="001C7BCB" w:rsidP="00927791">
      <w:pPr>
        <w:spacing w:after="0"/>
        <w:ind w:left="-426"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Переліку </w:t>
      </w:r>
      <w:r w:rsidRPr="0037484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об’єктів культурної спадщини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Чернігівської </w:t>
      </w:r>
      <w:r w:rsidRPr="0037484C">
        <w:rPr>
          <w:rFonts w:ascii="Times New Roman" w:hAnsi="Times New Roman"/>
          <w:b/>
          <w:color w:val="000000"/>
          <w:sz w:val="28"/>
          <w:szCs w:val="28"/>
          <w:lang w:val="uk-UA"/>
        </w:rPr>
        <w:t>області</w:t>
      </w:r>
    </w:p>
    <w:p w:rsidR="001C7BCB" w:rsidRPr="0037484C" w:rsidRDefault="001C7BCB" w:rsidP="004505B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316"/>
        <w:gridCol w:w="1926"/>
        <w:gridCol w:w="2794"/>
        <w:gridCol w:w="1280"/>
        <w:gridCol w:w="1280"/>
        <w:gridCol w:w="1529"/>
        <w:gridCol w:w="3380"/>
      </w:tblGrid>
      <w:tr w:rsidR="001C7BCB" w:rsidRPr="00C43558" w:rsidTr="00155C2B">
        <w:trPr>
          <w:trHeight w:val="1136"/>
        </w:trPr>
        <w:tc>
          <w:tcPr>
            <w:tcW w:w="172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1" w:type="pct"/>
          </w:tcPr>
          <w:p w:rsidR="001C7BCB" w:rsidRPr="00C43558" w:rsidRDefault="001C7BCB" w:rsidP="00C42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об’єкта</w:t>
            </w:r>
          </w:p>
          <w:p w:rsidR="001C7BCB" w:rsidRDefault="001C7BCB" w:rsidP="00C42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культурної спадщини, </w:t>
            </w:r>
          </w:p>
          <w:p w:rsidR="001C7BCB" w:rsidRDefault="001C7BCB" w:rsidP="00C42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складових </w:t>
            </w:r>
          </w:p>
          <w:p w:rsidR="001C7BCB" w:rsidRPr="00C43558" w:rsidRDefault="001C7BCB" w:rsidP="00C42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комплексах,</w:t>
            </w:r>
          </w:p>
          <w:p w:rsidR="001C7BCB" w:rsidRPr="00C43558" w:rsidRDefault="001C7BCB" w:rsidP="00C42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Власник або </w:t>
            </w:r>
            <w:proofErr w:type="spellStart"/>
            <w:r w:rsidRPr="00C43558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уповноваже-ний</w:t>
            </w:r>
            <w:proofErr w:type="spellEnd"/>
            <w:r w:rsidRPr="00C43558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ним орган (у разі наявності)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426" w:type="pct"/>
          </w:tcPr>
          <w:p w:rsidR="001C7BCB" w:rsidRPr="00C43558" w:rsidRDefault="001C7BCB" w:rsidP="00C42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утворення об’єкта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Автентич-</w:t>
            </w:r>
            <w:proofErr w:type="spellEnd"/>
          </w:p>
          <w:p w:rsidR="001C7BCB" w:rsidRPr="00C43558" w:rsidRDefault="001C7BCB" w:rsidP="00C435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/ збереженість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558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Цінність об’єкта з археологічного, естетичного, історичного, архітектурного, мистецького, наукового чи художнього погляду </w:t>
            </w:r>
          </w:p>
        </w:tc>
        <w:bookmarkStart w:id="0" w:name="_GoBack"/>
        <w:bookmarkEnd w:id="0"/>
      </w:tr>
      <w:tr w:rsidR="001C7BCB" w:rsidRPr="00C43558" w:rsidTr="00462ED5">
        <w:tc>
          <w:tcPr>
            <w:tcW w:w="5000" w:type="pct"/>
            <w:gridSpan w:val="8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Новгород-Сіверський</w:t>
            </w: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район</w:t>
            </w:r>
          </w:p>
        </w:tc>
      </w:tr>
      <w:tr w:rsidR="001C7BCB" w:rsidRPr="00C43558" w:rsidTr="00155C2B">
        <w:tc>
          <w:tcPr>
            <w:tcW w:w="172" w:type="pct"/>
          </w:tcPr>
          <w:p w:rsidR="001C7BCB" w:rsidRPr="00C43558" w:rsidRDefault="001C7BCB" w:rsidP="00155C2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Залишки комплексу Свято-Миколаївського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Пустинно-Рихлівського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монастиря (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18 шт.),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8258-Чр</w:t>
            </w:r>
          </w:p>
        </w:tc>
        <w:tc>
          <w:tcPr>
            <w:tcW w:w="641" w:type="pct"/>
          </w:tcPr>
          <w:p w:rsidR="001C7BCB" w:rsidRPr="00C43558" w:rsidRDefault="001C7BCB" w:rsidP="00861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Територіальна громада у особі  </w:t>
            </w:r>
            <w:proofErr w:type="spellStart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Понорницької</w:t>
            </w:r>
            <w:proofErr w:type="spellEnd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ради,</w:t>
            </w:r>
          </w:p>
          <w:p w:rsidR="001C7BCB" w:rsidRPr="00C43558" w:rsidRDefault="001C7BCB" w:rsidP="00861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релігійна громада Свято-Миколаївського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Пустинно-Рихлівського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монастиря</w:t>
            </w:r>
          </w:p>
        </w:tc>
        <w:tc>
          <w:tcPr>
            <w:tcW w:w="930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Рихли, </w:t>
            </w:r>
            <w:proofErr w:type="spellStart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Понорницька</w:t>
            </w:r>
            <w:proofErr w:type="spellEnd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селищна рада, за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C43558">
                <w:rPr>
                  <w:rFonts w:ascii="Times New Roman" w:hAnsi="Times New Roman"/>
                  <w:bCs/>
                  <w:sz w:val="24"/>
                  <w:szCs w:val="24"/>
                  <w:lang w:val="uk-UA"/>
                </w:rPr>
                <w:t>0,3 км</w:t>
              </w:r>
            </w:smartTag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північний схід від села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1666-1922 рр.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Комплекс має суттєву археологічну, архітектурну, історичну та наукову цінність.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 унікальним об’єктом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археологічної спадщини,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що містить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археологізовані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залишки архітектурних споруд 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Свято-Миколаївського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Пустинно-Рихлівського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монастиря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другої половини Х</w:t>
            </w:r>
            <w:r w:rsidRPr="00C43558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ІІ –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першої чверті ХХ ст.</w:t>
            </w:r>
          </w:p>
        </w:tc>
      </w:tr>
      <w:tr w:rsidR="001C7BCB" w:rsidRPr="00C43558" w:rsidTr="00462ED5">
        <w:tc>
          <w:tcPr>
            <w:tcW w:w="5000" w:type="pct"/>
            <w:gridSpan w:val="8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Чернігівський район</w:t>
            </w:r>
          </w:p>
        </w:tc>
      </w:tr>
      <w:tr w:rsidR="001C7BCB" w:rsidRPr="00C43558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 «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Новоселівка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-3»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6353-Чр</w:t>
            </w:r>
          </w:p>
        </w:tc>
        <w:tc>
          <w:tcPr>
            <w:tcW w:w="641" w:type="pct"/>
          </w:tcPr>
          <w:p w:rsidR="001C7BCB" w:rsidRPr="00C43558" w:rsidRDefault="001C7BCB" w:rsidP="00861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Територіальна громада у особі 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Новоселівської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930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с. </w:t>
            </w:r>
            <w:proofErr w:type="spellStart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Новоселівка</w:t>
            </w:r>
            <w:proofErr w:type="spellEnd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Вознесенська сільська </w:t>
            </w: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рада,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0,75-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43558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1 км</w:t>
              </w:r>
            </w:smartTag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північний схід від </w:t>
            </w: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села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-І тис. до н. е.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861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наукову цінність. </w:t>
            </w:r>
          </w:p>
          <w:p w:rsidR="001C7BCB" w:rsidRPr="00C43558" w:rsidRDefault="001C7BCB" w:rsidP="00861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доповнює відомості про життя і побут населення пониззя межиріччя Десни і Дніпра в епохи неоліту та бронзи. Основний хронологічний горизонт представлений залишками поселення носіїв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милоградської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культури раннього залізного віку з особливою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планіграфією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житловими та господарськими будівлями, ямами, побутовими предметами</w:t>
            </w:r>
          </w:p>
        </w:tc>
      </w:tr>
      <w:tr w:rsidR="001C7BCB" w:rsidRPr="00C43558" w:rsidTr="00155C2B">
        <w:tc>
          <w:tcPr>
            <w:tcW w:w="172" w:type="pct"/>
            <w:vMerge w:val="restar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Стародавнє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місто Остер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2 шт.),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7831-Чр</w:t>
            </w:r>
          </w:p>
        </w:tc>
        <w:tc>
          <w:tcPr>
            <w:tcW w:w="641" w:type="pct"/>
          </w:tcPr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Остра в особі</w:t>
            </w:r>
          </w:p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Остерської</w:t>
            </w:r>
            <w:proofErr w:type="spellEnd"/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міської ради, громадяни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Остра (приватна власність)</w:t>
            </w:r>
          </w:p>
        </w:tc>
        <w:tc>
          <w:tcPr>
            <w:tcW w:w="930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 Остер, </w:t>
            </w:r>
            <w:proofErr w:type="spellStart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Остерська</w:t>
            </w:r>
            <w:proofErr w:type="spellEnd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міська рада,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території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основної частини сучасного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Х-Х</w:t>
            </w:r>
            <w:r w:rsidRPr="00C4355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ст.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Комплекс має велику археологічну, історичну та наукову цінність. </w:t>
            </w:r>
          </w:p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Є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унікальною пам’яткою давньоруської та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ранньомодерної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фортифікації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Це залишки 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давньоруського міста з легендарною Юрієвою божницею, яке 13 разів згадується у літописах, одної з найпотужніших фортець Середнього Подніпров’я, 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стратегічного форпосту на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порубіжжі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Київського, Чернігівського і Переяславського князівств у період Давньої Русі (комплекс літописного «Городця на 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Острі» Х-ХІІІ ст., заснованого на р. Острі), а також Московії і Речі Посполитої (комплекс  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ранньомодерного</w:t>
            </w:r>
            <w:proofErr w:type="spellEnd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 «Нового Остра»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XVI-XVIII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 ст., заснованого на р. Десні).</w:t>
            </w:r>
            <w:r w:rsidRPr="00C435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Містить рештки оборонних споруд, житлових, господарських будівель, побутових предметів, інструментів, зброї, які характеризують спосіб життя та побут населення згаданих історичних періодів</w:t>
            </w:r>
          </w:p>
        </w:tc>
      </w:tr>
      <w:tr w:rsidR="001C7BCB" w:rsidRPr="00C43558" w:rsidTr="00155C2B">
        <w:tc>
          <w:tcPr>
            <w:tcW w:w="172" w:type="pct"/>
            <w:vMerge/>
          </w:tcPr>
          <w:p w:rsidR="001C7BCB" w:rsidRPr="00C43558" w:rsidRDefault="001C7BCB" w:rsidP="0092779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Фортеця</w:t>
            </w:r>
          </w:p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Остерська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(Місто, Більший Город, Слобода «Новий Остер»)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, 7831/2-Чр</w:t>
            </w:r>
          </w:p>
        </w:tc>
        <w:tc>
          <w:tcPr>
            <w:tcW w:w="641" w:type="pct"/>
          </w:tcPr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Остра в особі</w:t>
            </w:r>
          </w:p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Остерської</w:t>
            </w:r>
            <w:proofErr w:type="spellEnd"/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міської ради, громадяни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Остра (приватна власність)</w:t>
            </w:r>
          </w:p>
        </w:tc>
        <w:tc>
          <w:tcPr>
            <w:tcW w:w="930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 Остер, </w:t>
            </w:r>
            <w:proofErr w:type="spellStart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Остерська</w:t>
            </w:r>
            <w:proofErr w:type="spellEnd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міська рада,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північно-західній і центральній частинах міста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355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Об’єкт має суттєву археологічну, історичну та наукову цінність.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Є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унікальною пам’яткою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ранньомодерної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фортифікації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залишками фортеці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«Новий Остер»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XVI-XVIII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 ст., 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стратегічного форпосту на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порубіжжі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Московії і Речі Посполитої </w:t>
            </w:r>
          </w:p>
        </w:tc>
      </w:tr>
      <w:tr w:rsidR="001C7BCB" w:rsidRPr="00C43558" w:rsidTr="00155C2B">
        <w:tc>
          <w:tcPr>
            <w:tcW w:w="172" w:type="pct"/>
            <w:vMerge/>
          </w:tcPr>
          <w:p w:rsidR="001C7BCB" w:rsidRPr="00C43558" w:rsidRDefault="001C7BCB" w:rsidP="0092779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 «Передмістя»,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7831/2-Чр</w:t>
            </w:r>
          </w:p>
        </w:tc>
        <w:tc>
          <w:tcPr>
            <w:tcW w:w="641" w:type="pct"/>
          </w:tcPr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Остра в особі</w:t>
            </w:r>
          </w:p>
          <w:p w:rsidR="001C7BCB" w:rsidRPr="00C43558" w:rsidRDefault="001C7BCB" w:rsidP="00861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Остерської</w:t>
            </w:r>
            <w:proofErr w:type="spellEnd"/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міської ради, громадяни </w:t>
            </w:r>
          </w:p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Остра (приватна власність)</w:t>
            </w:r>
          </w:p>
        </w:tc>
        <w:tc>
          <w:tcPr>
            <w:tcW w:w="930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 Остер, </w:t>
            </w:r>
            <w:proofErr w:type="spellStart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Остерська</w:t>
            </w:r>
            <w:proofErr w:type="spellEnd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міська рада,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північно-західній, центральній і північно-східній частинах міста, на захід, південний захід, південь, південний схід,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схід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північний схід від фортечних укріплень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355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426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861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 цікавим археологічним об’єктом, який доповнює відомості про </w:t>
            </w: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життя та побут населення передмістя 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ранньомодерного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«Нового Остра»</w:t>
            </w:r>
          </w:p>
        </w:tc>
      </w:tr>
      <w:tr w:rsidR="001C7BCB" w:rsidRPr="00C43558" w:rsidTr="00155C2B">
        <w:tc>
          <w:tcPr>
            <w:tcW w:w="172" w:type="pct"/>
            <w:vMerge w:val="restar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8E6E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Комплекс об’єктів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археологічної спадщини «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Млиновище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-2»</w:t>
            </w:r>
          </w:p>
          <w:p w:rsidR="001C7BCB" w:rsidRPr="00C43558" w:rsidRDefault="001C7BCB" w:rsidP="008E6E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(3 шт.),</w:t>
            </w:r>
          </w:p>
          <w:p w:rsidR="001C7BCB" w:rsidRPr="00C43558" w:rsidRDefault="001C7BCB" w:rsidP="008E6E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8257-Чр</w:t>
            </w:r>
          </w:p>
        </w:tc>
        <w:tc>
          <w:tcPr>
            <w:tcW w:w="641" w:type="pct"/>
          </w:tcPr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Територіальна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громада міста Чернігова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міської ради, громадяни 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Чернігова (приватна власність)</w:t>
            </w:r>
          </w:p>
        </w:tc>
        <w:tc>
          <w:tcPr>
            <w:tcW w:w="930" w:type="pct"/>
          </w:tcPr>
          <w:p w:rsidR="001C7BCB" w:rsidRPr="00C43558" w:rsidRDefault="001C7BCB" w:rsidP="008E6E73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м. Чернігів, Чернігівська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міська рада,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у південній частині </w:t>
            </w: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міста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, на території «Подолу»,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в 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урочиші</w:t>
            </w:r>
            <w:proofErr w:type="spellEnd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Лісковиця</w:t>
            </w:r>
            <w:proofErr w:type="spellEnd"/>
          </w:p>
        </w:tc>
        <w:tc>
          <w:tcPr>
            <w:tcW w:w="426" w:type="pct"/>
          </w:tcPr>
          <w:p w:rsidR="001C7BCB" w:rsidRPr="00C43558" w:rsidRDefault="001C7BCB" w:rsidP="008E6E73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ІІ-І тис.</w:t>
            </w:r>
          </w:p>
          <w:p w:rsidR="001C7BCB" w:rsidRPr="00C43558" w:rsidRDefault="001C7BCB" w:rsidP="008E6E73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н. е.,</w:t>
            </w:r>
          </w:p>
          <w:p w:rsidR="001C7BCB" w:rsidRPr="00C43558" w:rsidRDefault="001C7BCB" w:rsidP="008E6E73">
            <w:pPr>
              <w:spacing w:after="0" w:line="240" w:lineRule="auto"/>
              <w:ind w:right="-155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І тис.,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ХІ-ХІІІ,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ХVІІІ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426" w:type="pct"/>
          </w:tcPr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Об’єкт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археології</w:t>
            </w:r>
          </w:p>
        </w:tc>
        <w:tc>
          <w:tcPr>
            <w:tcW w:w="509" w:type="pct"/>
          </w:tcPr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Збережено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частково</w:t>
            </w:r>
          </w:p>
        </w:tc>
        <w:tc>
          <w:tcPr>
            <w:tcW w:w="1125" w:type="pct"/>
          </w:tcPr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Комплекс має суттєву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археологічну, історичну та наукову цінність.</w:t>
            </w:r>
          </w:p>
          <w:p w:rsidR="001C7BCB" w:rsidRPr="00C43558" w:rsidRDefault="001C7BCB" w:rsidP="008E6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 цікавим різночасовим і різнохарактерним об’єктом археологічної спадщини. Містить залишки поселенської 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уктури, що передувала виникненню міста Чернігова,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плінфовипалювального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виробництва для потреб кам’яного будівництва давньоруського Чернігова та ґрунтового могильника</w:t>
            </w:r>
          </w:p>
        </w:tc>
      </w:tr>
      <w:tr w:rsidR="001C7BCB" w:rsidRPr="00C43558" w:rsidTr="00155C2B">
        <w:tc>
          <w:tcPr>
            <w:tcW w:w="172" w:type="pct"/>
            <w:vMerge/>
          </w:tcPr>
          <w:p w:rsidR="001C7BCB" w:rsidRPr="00C43558" w:rsidRDefault="001C7BCB" w:rsidP="00C435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60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lang w:val="uk-UA"/>
              </w:rPr>
              <w:t xml:space="preserve">Виробничий 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lang w:val="uk-UA"/>
              </w:rPr>
              <w:t>плінфовипалю-вальний</w:t>
            </w:r>
            <w:proofErr w:type="spellEnd"/>
            <w:r w:rsidRPr="00C43558">
              <w:rPr>
                <w:rStyle w:val="FontStyle105"/>
                <w:rFonts w:ascii="Times New Roman" w:hAnsi="Times New Roman"/>
                <w:lang w:val="uk-UA"/>
              </w:rPr>
              <w:t xml:space="preserve"> комплекс,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60"/>
              <w:jc w:val="center"/>
              <w:rPr>
                <w:rFonts w:ascii="Times New Roman" w:hAnsi="Times New Roman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>8257/1-Чр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громадяни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Чернігова (приватна власність) 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Чернігівська міська рада,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у південній частині </w:t>
            </w: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міста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,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за 0,5 км на південь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від 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Єлецького</w:t>
            </w:r>
            <w:proofErr w:type="spellEnd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 Свято-Успенського монастиря,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по вул. Успенській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ХІ-ХІІ ст.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 цікавим об’єктом давньоруського виробництва, створеним для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потреб кам’яного будівництва давньоруського Чернігова</w:t>
            </w:r>
          </w:p>
        </w:tc>
      </w:tr>
      <w:tr w:rsidR="001C7BCB" w:rsidRPr="00C43558" w:rsidTr="00155C2B">
        <w:tc>
          <w:tcPr>
            <w:tcW w:w="172" w:type="pct"/>
            <w:vMerge/>
          </w:tcPr>
          <w:p w:rsidR="001C7BCB" w:rsidRPr="00C43558" w:rsidRDefault="001C7BCB" w:rsidP="00C435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60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lang w:val="uk-UA"/>
              </w:rPr>
              <w:t>Поселення «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lang w:val="uk-UA"/>
              </w:rPr>
              <w:t>Лісковиця</w:t>
            </w:r>
            <w:proofErr w:type="spellEnd"/>
            <w:r w:rsidRPr="00C43558">
              <w:rPr>
                <w:rStyle w:val="FontStyle105"/>
                <w:rFonts w:ascii="Times New Roman" w:hAnsi="Times New Roman"/>
                <w:lang w:val="uk-UA"/>
              </w:rPr>
              <w:t>-2»,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8257/2-Чр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громадяни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Чернігова (приватна власність) 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Чернігівська міська рада,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у південній частині </w:t>
            </w: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міста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,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у південно-східній частині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урочища 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Лісковиця</w:t>
            </w:r>
            <w:proofErr w:type="spellEnd"/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ІІ-І тис.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до н. е.,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І тис.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характеризує заселеність території пониззя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 стародавньої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приустевої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частини р. Стрижня, де пізніше був розташований «Поділ»  </w:t>
            </w: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стародавнього</w:t>
            </w:r>
            <w:r w:rsidRPr="00C43558">
              <w:rPr>
                <w:rFonts w:ascii="Times New Roman" w:hAnsi="Times New Roman"/>
                <w:bCs/>
                <w:kern w:val="36"/>
                <w:sz w:val="28"/>
                <w:szCs w:val="28"/>
                <w:lang w:val="uk-UA"/>
              </w:rPr>
              <w:t xml:space="preserve">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міста Чернігова</w:t>
            </w:r>
          </w:p>
        </w:tc>
      </w:tr>
      <w:tr w:rsidR="001C7BCB" w:rsidRPr="00C43558" w:rsidTr="00155C2B">
        <w:tc>
          <w:tcPr>
            <w:tcW w:w="172" w:type="pct"/>
            <w:vMerge/>
          </w:tcPr>
          <w:p w:rsidR="001C7BCB" w:rsidRPr="00C43558" w:rsidRDefault="001C7BCB" w:rsidP="00C4355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60"/>
              <w:jc w:val="center"/>
              <w:rPr>
                <w:rFonts w:ascii="Times New Roman" w:hAnsi="Times New Roman"/>
                <w:bCs/>
                <w:kern w:val="36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lang w:val="uk-UA"/>
              </w:rPr>
              <w:t>Ґрунтовий могильник,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60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>8257/3-Чр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громадяни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Чернігова (приватна власність) 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Чернігівська міська рада,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в районі садиб №№ 27-45, 50-54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по вул. Успенській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ХІІ-</w:t>
            </w: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ХІІІ ст.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поховальним об’єктом давньоруського міста Чернігова та його найближчої округи</w:t>
            </w:r>
          </w:p>
        </w:tc>
      </w:tr>
      <w:tr w:rsidR="001C7BCB" w:rsidRPr="0005445A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 «Вал»,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8251-Чр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Національний архітектурно-історичний заповідник «Чернігів стародавній»,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громадяни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Чернігова (приватна власність) 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 Чернігівська міська рада, у південній частині міста,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території «Дитинця» стародавнього міста Чернігова,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в урочищі Вал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ІІІ-І тис.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до н. е.,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 тис.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характеризує заселеність у різні історичні періоди території, де пізніше виникли «Дитинець» та «Цитадель» давньоруського міста Чернігова</w:t>
            </w:r>
          </w:p>
        </w:tc>
      </w:tr>
      <w:tr w:rsidR="001C7BCB" w:rsidRPr="0005445A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«Мис-Третяк»,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8252-Чр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Приватна власність громадянки М.М.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Рейко</w:t>
            </w:r>
            <w:proofErr w:type="spellEnd"/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Чернігівська міська рада, у південній частині міста, </w:t>
            </w: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поміж вулицями </w:t>
            </w:r>
            <w:proofErr w:type="spellStart"/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Єлецькою</w:t>
            </w:r>
            <w:proofErr w:type="spellEnd"/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Старостриженською</w:t>
            </w:r>
            <w:proofErr w:type="spellEnd"/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та просп. Миру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ІІ тис.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до н. е.,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VII-ІІІ ст. до н. е.,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VIIІ, Х ст.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характеризує заселеність у різні історичні періоди території, де пізніше виник «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Окольний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Град»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давньоруського міста Чернігова та «Третяк»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ранньомодерного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міста Чернігова</w:t>
            </w:r>
          </w:p>
        </w:tc>
      </w:tr>
      <w:tr w:rsidR="001C7BCB" w:rsidRPr="0005445A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Мис-Єлецька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Гора»,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8253-Чр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Чернігівська міська рада, </w:t>
            </w: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 південній частині міста,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між вулицями Князя Чорного, Тихою та Толстого, в урочищі </w:t>
            </w:r>
            <w:proofErr w:type="spellStart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Єлецька</w:t>
            </w:r>
            <w:proofErr w:type="spellEnd"/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 Гора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ІІ-І тис.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до н. е.,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 тис.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характеризує заселеність у різні історичні періоди території, де пізніше виник «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Окольний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Град» давньоруського міста Чернігова та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Єлецький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Свято-Успенський монастир</w:t>
            </w:r>
          </w:p>
        </w:tc>
      </w:tr>
      <w:tr w:rsidR="001C7BCB" w:rsidRPr="0005445A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 «Стрижень-Устя»,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8254-Чр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>міської ради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108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 Чернігівська міська рада, у південно-східній частині міста,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в районі забудови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по вул. Шевченка, 43-а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та Чернігівської спеціалізованої ЗОШ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І-ІІІ ступенів № 2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(вул. Савчука, 13)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ІІ тис.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до н. е.,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ІІІ ст. до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н. е. – ІІІ, ІХ-Х ст.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характеризує заселеність у різні історичні періоди території пониззя та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приустевої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частини р. Стрижня, де пізніше було засноване «Передгороддя» давньоруського міста Чернігова</w:t>
            </w:r>
          </w:p>
        </w:tc>
      </w:tr>
      <w:tr w:rsidR="001C7BCB" w:rsidRPr="00C43558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«Сіверянське»,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8256-Чр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>міської ради,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громадяни 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108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м. Чернігова (приватна власність) 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м. Чернігів, Чернігівська міська рада, у південній частині </w:t>
            </w: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міста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в районі вул. Сіверянської, 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по пров. Миколи Василенка, 28, 30, 31, 33, 35, 37, 39, 41, 43  та </w:t>
            </w: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lastRenderedPageBreak/>
              <w:t>по вул. Колоскових, 1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lastRenderedPageBreak/>
              <w:t>ІІІ-І тис.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до н. е.,</w:t>
            </w:r>
          </w:p>
          <w:p w:rsidR="001C7BCB" w:rsidRPr="00C43558" w:rsidRDefault="001C7BCB" w:rsidP="00C4355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І тис.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характеризує заселеність у різні історичні періоди правобережної тераси 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р. Десни,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 пізніше було засноване місто Чернігів з його округою та печерними комплексами</w:t>
            </w:r>
          </w:p>
        </w:tc>
      </w:tr>
      <w:tr w:rsidR="001C7BCB" w:rsidRPr="0005445A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 «</w:t>
            </w:r>
            <w:proofErr w:type="spellStart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Ровчак</w:t>
            </w:r>
            <w:proofErr w:type="spellEnd"/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8255-Чр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>міської ради,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громадяни 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108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 xml:space="preserve">м. Чернігова (приватна власність) 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Чернігівська міська рада, у східній частині міста, 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>в районі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</w:t>
            </w:r>
            <w:r w:rsidRPr="00C43558">
              <w:rPr>
                <w:rStyle w:val="FontStyle105"/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Мачеретівської</w:t>
            </w:r>
            <w:proofErr w:type="spellEnd"/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 пров. Молодіжного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Х-ХІІ ст.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доповнює відомості про життя і побут населення округи давньоруського міста Чернігова</w:t>
            </w:r>
          </w:p>
        </w:tc>
      </w:tr>
      <w:tr w:rsidR="001C7BCB" w:rsidRPr="0005445A" w:rsidTr="00155C2B">
        <w:tc>
          <w:tcPr>
            <w:tcW w:w="172" w:type="pct"/>
          </w:tcPr>
          <w:p w:rsidR="001C7BCB" w:rsidRPr="00C43558" w:rsidRDefault="001C7BCB" w:rsidP="00462E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</w:tcPr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Поселення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«Красний Хутір»,</w:t>
            </w:r>
          </w:p>
          <w:p w:rsidR="001C7BCB" w:rsidRPr="00C43558" w:rsidRDefault="001C7BCB" w:rsidP="00C435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8250-Чр</w:t>
            </w:r>
          </w:p>
        </w:tc>
        <w:tc>
          <w:tcPr>
            <w:tcW w:w="641" w:type="pct"/>
          </w:tcPr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Територіальна громада міста Чернігова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особі</w:t>
            </w:r>
          </w:p>
          <w:p w:rsidR="001C7BCB" w:rsidRPr="00C43558" w:rsidRDefault="001C7BCB" w:rsidP="00C435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>міської ради,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громадяни </w:t>
            </w:r>
          </w:p>
          <w:p w:rsidR="001C7BCB" w:rsidRPr="00C43558" w:rsidRDefault="001C7BCB" w:rsidP="00C43558">
            <w:pPr>
              <w:pStyle w:val="Style2"/>
              <w:widowControl/>
              <w:spacing w:line="240" w:lineRule="auto"/>
              <w:ind w:right="-108"/>
              <w:jc w:val="center"/>
              <w:rPr>
                <w:rStyle w:val="FontStyle105"/>
                <w:rFonts w:ascii="Times New Roman" w:hAnsi="Times New Roman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lang w:val="uk-UA"/>
              </w:rPr>
              <w:t xml:space="preserve">м. Чернігова (приватна власність) </w:t>
            </w:r>
          </w:p>
        </w:tc>
        <w:tc>
          <w:tcPr>
            <w:tcW w:w="930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 Чернігівська міська рада, у південно-західній частині міста,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на території колишнього </w:t>
            </w:r>
          </w:p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Красного Хутора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558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ІІІ-VІІ, ХІІ ст.</w:t>
            </w:r>
          </w:p>
        </w:tc>
        <w:tc>
          <w:tcPr>
            <w:tcW w:w="426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Об’єкт археології</w:t>
            </w:r>
          </w:p>
        </w:tc>
        <w:tc>
          <w:tcPr>
            <w:tcW w:w="509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Збережено частково</w:t>
            </w:r>
          </w:p>
        </w:tc>
        <w:tc>
          <w:tcPr>
            <w:tcW w:w="1125" w:type="pct"/>
          </w:tcPr>
          <w:p w:rsidR="001C7BCB" w:rsidRPr="00C43558" w:rsidRDefault="001C7BCB" w:rsidP="00C4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Поселення має суттєву археологічну, історичну та наукову цінність. </w:t>
            </w:r>
            <w:r w:rsidRPr="00C43558">
              <w:rPr>
                <w:rFonts w:ascii="Times New Roman" w:hAnsi="Times New Roman"/>
                <w:sz w:val="24"/>
                <w:szCs w:val="24"/>
                <w:lang w:val="uk-UA"/>
              </w:rPr>
              <w:t>Є цікавим об’єктом</w:t>
            </w:r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археологічної спадщини, який доповнює відомості про життя і побут ранньослов’янських  племен </w:t>
            </w:r>
            <w:proofErr w:type="spellStart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Постриження</w:t>
            </w:r>
            <w:proofErr w:type="spellEnd"/>
            <w:r w:rsidRPr="00C435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населення округи давньоруського міста Чернігова</w:t>
            </w:r>
          </w:p>
        </w:tc>
      </w:tr>
    </w:tbl>
    <w:p w:rsidR="001C7BCB" w:rsidRDefault="001C7BCB" w:rsidP="001C6E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C7BCB" w:rsidRDefault="001C7BCB" w:rsidP="001C6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Всього: 11 об’єктів, 25 із </w:t>
      </w:r>
      <w:r w:rsidRPr="00B35F1C">
        <w:rPr>
          <w:rFonts w:ascii="Times New Roman" w:hAnsi="Times New Roman"/>
          <w:sz w:val="24"/>
          <w:szCs w:val="24"/>
          <w:lang w:val="uk-UA"/>
        </w:rPr>
        <w:t>такими,</w:t>
      </w:r>
      <w:r>
        <w:rPr>
          <w:rFonts w:ascii="Times New Roman" w:hAnsi="Times New Roman"/>
          <w:sz w:val="24"/>
          <w:szCs w:val="24"/>
          <w:lang w:val="uk-UA"/>
        </w:rPr>
        <w:t xml:space="preserve"> що входять до складу: комплексу</w:t>
      </w:r>
      <w:r w:rsidRPr="00B35F1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Стародавнього міста Остра</w:t>
      </w:r>
      <w:r w:rsidRPr="00402B0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(окрім 2 вказаних об’єктів до нього входять також г</w:t>
      </w:r>
      <w:proofErr w:type="spellStart"/>
      <w:r w:rsidRPr="00B35F1C">
        <w:rPr>
          <w:rFonts w:ascii="Times New Roman" w:hAnsi="Times New Roman"/>
          <w:sz w:val="24"/>
          <w:szCs w:val="24"/>
        </w:rPr>
        <w:t>ородище</w:t>
      </w:r>
      <w:proofErr w:type="spellEnd"/>
      <w:r w:rsidRPr="00B35F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35F1C">
        <w:rPr>
          <w:rFonts w:ascii="Times New Roman" w:hAnsi="Times New Roman"/>
          <w:sz w:val="24"/>
          <w:szCs w:val="24"/>
        </w:rPr>
        <w:t>Городець</w:t>
      </w:r>
      <w:proofErr w:type="spellEnd"/>
      <w:r w:rsidRPr="00B35F1C">
        <w:rPr>
          <w:rFonts w:ascii="Times New Roman" w:hAnsi="Times New Roman"/>
          <w:sz w:val="24"/>
          <w:szCs w:val="24"/>
        </w:rPr>
        <w:t xml:space="preserve"> на</w:t>
      </w:r>
      <w:r w:rsidRPr="00B35F1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35F1C">
        <w:rPr>
          <w:rFonts w:ascii="Times New Roman" w:hAnsi="Times New Roman"/>
          <w:sz w:val="24"/>
          <w:szCs w:val="24"/>
        </w:rPr>
        <w:t>Острі</w:t>
      </w:r>
      <w:proofErr w:type="spellEnd"/>
      <w:r w:rsidRPr="00B35F1C">
        <w:rPr>
          <w:rFonts w:ascii="Times New Roman" w:hAnsi="Times New Roman"/>
          <w:sz w:val="24"/>
          <w:szCs w:val="24"/>
        </w:rPr>
        <w:t>» (</w:t>
      </w:r>
      <w:proofErr w:type="spellStart"/>
      <w:r w:rsidRPr="00B35F1C">
        <w:rPr>
          <w:rFonts w:ascii="Times New Roman" w:hAnsi="Times New Roman"/>
          <w:sz w:val="24"/>
          <w:szCs w:val="24"/>
        </w:rPr>
        <w:t>Городець</w:t>
      </w:r>
      <w:proofErr w:type="spellEnd"/>
      <w:r w:rsidRPr="00B35F1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35F1C">
        <w:rPr>
          <w:rFonts w:ascii="Times New Roman" w:hAnsi="Times New Roman"/>
          <w:sz w:val="24"/>
          <w:szCs w:val="24"/>
        </w:rPr>
        <w:t>Остерський</w:t>
      </w:r>
      <w:proofErr w:type="spellEnd"/>
      <w:r w:rsidRPr="00B35F1C">
        <w:rPr>
          <w:rFonts w:ascii="Times New Roman" w:hAnsi="Times New Roman"/>
          <w:sz w:val="24"/>
          <w:szCs w:val="24"/>
        </w:rPr>
        <w:t xml:space="preserve">, Замок, Город, </w:t>
      </w:r>
      <w:proofErr w:type="spellStart"/>
      <w:r w:rsidRPr="00B35F1C">
        <w:rPr>
          <w:rFonts w:ascii="Times New Roman" w:hAnsi="Times New Roman"/>
          <w:sz w:val="24"/>
          <w:szCs w:val="24"/>
        </w:rPr>
        <w:t>Старогородка</w:t>
      </w:r>
      <w:proofErr w:type="spellEnd"/>
      <w:r w:rsidRPr="00B35F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35F1C">
        <w:rPr>
          <w:rFonts w:ascii="Times New Roman" w:hAnsi="Times New Roman"/>
          <w:sz w:val="24"/>
          <w:szCs w:val="24"/>
        </w:rPr>
        <w:t>поселенн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B35F1C">
        <w:rPr>
          <w:rFonts w:ascii="Times New Roman" w:hAnsi="Times New Roman"/>
          <w:sz w:val="24"/>
          <w:szCs w:val="24"/>
        </w:rPr>
        <w:t xml:space="preserve"> «Посад» (Острог, </w:t>
      </w:r>
      <w:proofErr w:type="spellStart"/>
      <w:r w:rsidRPr="00B35F1C">
        <w:rPr>
          <w:rFonts w:ascii="Times New Roman" w:hAnsi="Times New Roman"/>
          <w:sz w:val="24"/>
          <w:szCs w:val="24"/>
        </w:rPr>
        <w:t>Старе</w:t>
      </w:r>
      <w:proofErr w:type="spellEnd"/>
      <w:r w:rsidRPr="00B35F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Місто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35F1C">
        <w:rPr>
          <w:rFonts w:ascii="Times New Roman" w:hAnsi="Times New Roman"/>
          <w:sz w:val="24"/>
          <w:szCs w:val="24"/>
        </w:rPr>
        <w:t>поселенн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Поділ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нелокалізовани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й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ок</w:t>
      </w:r>
      <w:proofErr w:type="spellEnd"/>
      <w:r w:rsidRPr="00B35F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35F1C">
        <w:rPr>
          <w:rFonts w:ascii="Times New Roman" w:hAnsi="Times New Roman"/>
          <w:sz w:val="24"/>
          <w:szCs w:val="24"/>
        </w:rPr>
        <w:t>Новий</w:t>
      </w:r>
      <w:proofErr w:type="spellEnd"/>
      <w:r w:rsidRPr="00B35F1C">
        <w:rPr>
          <w:rFonts w:ascii="Times New Roman" w:hAnsi="Times New Roman"/>
          <w:sz w:val="24"/>
          <w:szCs w:val="24"/>
        </w:rPr>
        <w:t xml:space="preserve"> Остер» (</w:t>
      </w:r>
      <w:proofErr w:type="spellStart"/>
      <w:r>
        <w:rPr>
          <w:rFonts w:ascii="Times New Roman" w:hAnsi="Times New Roman"/>
          <w:sz w:val="24"/>
          <w:szCs w:val="24"/>
        </w:rPr>
        <w:t>Малий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Городок, </w:t>
      </w:r>
      <w:proofErr w:type="spellStart"/>
      <w:r>
        <w:rPr>
          <w:rFonts w:ascii="Times New Roman" w:hAnsi="Times New Roman"/>
          <w:sz w:val="24"/>
          <w:szCs w:val="24"/>
        </w:rPr>
        <w:t>Старий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Городок)</w:t>
      </w:r>
      <w:r>
        <w:rPr>
          <w:rFonts w:ascii="Times New Roman" w:hAnsi="Times New Roman"/>
          <w:sz w:val="24"/>
          <w:szCs w:val="24"/>
          <w:lang w:val="uk-UA"/>
        </w:rPr>
        <w:t xml:space="preserve">), </w:t>
      </w:r>
      <w:r>
        <w:rPr>
          <w:rFonts w:ascii="Times New Roman" w:hAnsi="Times New Roman"/>
          <w:sz w:val="24"/>
          <w:szCs w:val="24"/>
          <w:lang w:val="uk-UA" w:eastAsia="ru-RU"/>
        </w:rPr>
        <w:t>залишків</w:t>
      </w:r>
      <w:r w:rsidRPr="005970FF">
        <w:rPr>
          <w:rFonts w:ascii="Times New Roman" w:hAnsi="Times New Roman"/>
          <w:sz w:val="24"/>
          <w:szCs w:val="24"/>
          <w:lang w:val="uk-UA" w:eastAsia="ru-RU"/>
        </w:rPr>
        <w:t xml:space="preserve"> комплексу Свято-Миколаївського </w:t>
      </w:r>
      <w:proofErr w:type="spellStart"/>
      <w:r w:rsidRPr="005970FF">
        <w:rPr>
          <w:rFonts w:ascii="Times New Roman" w:hAnsi="Times New Roman"/>
          <w:sz w:val="24"/>
          <w:szCs w:val="24"/>
          <w:lang w:val="uk-UA" w:eastAsia="ru-RU"/>
        </w:rPr>
        <w:t>Пустинно-</w:t>
      </w:r>
      <w:r>
        <w:rPr>
          <w:rFonts w:ascii="Times New Roman" w:hAnsi="Times New Roman"/>
          <w:sz w:val="24"/>
          <w:szCs w:val="24"/>
          <w:lang w:val="uk-UA" w:eastAsia="ru-RU"/>
        </w:rPr>
        <w:t>Рихлівського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970FF">
        <w:rPr>
          <w:rFonts w:ascii="Times New Roman" w:hAnsi="Times New Roman"/>
          <w:sz w:val="24"/>
          <w:szCs w:val="24"/>
          <w:lang w:val="uk-UA" w:eastAsia="ru-RU"/>
        </w:rPr>
        <w:t>монастиря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поблизу с. Рихли Новгород-Сіверського району</w:t>
      </w:r>
      <w:r>
        <w:rPr>
          <w:rFonts w:ascii="Times New Roman" w:hAnsi="Times New Roman"/>
          <w:sz w:val="24"/>
          <w:szCs w:val="24"/>
          <w:lang w:val="uk-UA"/>
        </w:rPr>
        <w:t xml:space="preserve"> та к</w:t>
      </w:r>
      <w:proofErr w:type="spellStart"/>
      <w:r w:rsidRPr="009B1394">
        <w:rPr>
          <w:rFonts w:ascii="Times New Roman" w:hAnsi="Times New Roman"/>
          <w:sz w:val="24"/>
          <w:szCs w:val="24"/>
        </w:rPr>
        <w:t>омплекс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у</w:t>
      </w:r>
      <w:r w:rsidRPr="009B1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394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9B1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394">
        <w:rPr>
          <w:rFonts w:ascii="Times New Roman" w:hAnsi="Times New Roman"/>
          <w:sz w:val="24"/>
          <w:szCs w:val="24"/>
        </w:rPr>
        <w:t>археологічної</w:t>
      </w:r>
      <w:proofErr w:type="spellEnd"/>
      <w:r w:rsidRPr="009B1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394">
        <w:rPr>
          <w:rFonts w:ascii="Times New Roman" w:hAnsi="Times New Roman"/>
          <w:sz w:val="24"/>
          <w:szCs w:val="24"/>
        </w:rPr>
        <w:t>спадщини</w:t>
      </w:r>
      <w:proofErr w:type="spellEnd"/>
      <w:r w:rsidRPr="009B1394">
        <w:rPr>
          <w:rFonts w:ascii="Times New Roman" w:hAnsi="Times New Roman"/>
          <w:sz w:val="24"/>
          <w:szCs w:val="24"/>
        </w:rPr>
        <w:t xml:space="preserve"> «Млиновище-2»</w:t>
      </w:r>
      <w:r>
        <w:rPr>
          <w:rFonts w:ascii="Times New Roman" w:hAnsi="Times New Roman"/>
          <w:sz w:val="24"/>
          <w:szCs w:val="24"/>
          <w:lang w:val="uk-UA"/>
        </w:rPr>
        <w:t xml:space="preserve"> у м. Чернігові</w:t>
      </w:r>
    </w:p>
    <w:p w:rsidR="006D1BC9" w:rsidRDefault="006D1BC9" w:rsidP="001C6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7BCB" w:rsidRDefault="001C7BCB" w:rsidP="001C6E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C7BCB" w:rsidRPr="00466212" w:rsidRDefault="001C7BCB" w:rsidP="001C6EC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66212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466212">
        <w:rPr>
          <w:rFonts w:ascii="Times New Roman" w:hAnsi="Times New Roman"/>
          <w:sz w:val="28"/>
          <w:szCs w:val="28"/>
          <w:lang w:val="uk-UA"/>
        </w:rPr>
        <w:t>. директора Департаменту культури  і туризму,</w:t>
      </w:r>
    </w:p>
    <w:p w:rsidR="001C7BCB" w:rsidRPr="00466212" w:rsidRDefault="001C7BCB" w:rsidP="001C6EC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466212">
        <w:rPr>
          <w:rFonts w:ascii="Times New Roman" w:hAnsi="Times New Roman"/>
          <w:sz w:val="28"/>
          <w:szCs w:val="28"/>
          <w:lang w:val="uk-UA"/>
        </w:rPr>
        <w:t xml:space="preserve">національностей та релігій Чернігівської обласної державної адміністрації    </w:t>
      </w:r>
      <w:r w:rsidR="009077E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466212">
        <w:rPr>
          <w:rFonts w:ascii="Times New Roman" w:hAnsi="Times New Roman"/>
          <w:sz w:val="28"/>
          <w:szCs w:val="28"/>
          <w:lang w:val="uk-UA"/>
        </w:rPr>
        <w:t>Людмила ЗАМАЙ</w:t>
      </w:r>
    </w:p>
    <w:sectPr w:rsidR="001C7BCB" w:rsidRPr="00466212" w:rsidSect="006D1B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6C5"/>
    <w:multiLevelType w:val="hybridMultilevel"/>
    <w:tmpl w:val="95708C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0D19EC"/>
    <w:multiLevelType w:val="multilevel"/>
    <w:tmpl w:val="29B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237861"/>
    <w:multiLevelType w:val="hybridMultilevel"/>
    <w:tmpl w:val="F4B42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9CE2A7B"/>
    <w:multiLevelType w:val="hybridMultilevel"/>
    <w:tmpl w:val="E6E8EF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B4560EA"/>
    <w:multiLevelType w:val="multilevel"/>
    <w:tmpl w:val="56988064"/>
    <w:lvl w:ilvl="0">
      <w:start w:val="1"/>
      <w:numFmt w:val="decimal"/>
      <w:lvlText w:val="%1."/>
      <w:lvlJc w:val="center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540955"/>
    <w:multiLevelType w:val="hybridMultilevel"/>
    <w:tmpl w:val="E0604F5A"/>
    <w:lvl w:ilvl="0" w:tplc="7FD80F7E">
      <w:start w:val="1"/>
      <w:numFmt w:val="decimal"/>
      <w:lvlText w:val="%1."/>
      <w:lvlJc w:val="center"/>
      <w:pPr>
        <w:tabs>
          <w:tab w:val="num" w:pos="357"/>
        </w:tabs>
        <w:ind w:left="56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E3932"/>
    <w:multiLevelType w:val="multilevel"/>
    <w:tmpl w:val="77A80C36"/>
    <w:lvl w:ilvl="0">
      <w:start w:val="1"/>
      <w:numFmt w:val="decimal"/>
      <w:lvlText w:val="%1."/>
      <w:lvlJc w:val="center"/>
      <w:pPr>
        <w:tabs>
          <w:tab w:val="num" w:pos="357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BC3240"/>
    <w:multiLevelType w:val="hybridMultilevel"/>
    <w:tmpl w:val="D21E55AE"/>
    <w:lvl w:ilvl="0" w:tplc="D9C618E8">
      <w:start w:val="1"/>
      <w:numFmt w:val="decimal"/>
      <w:lvlText w:val="%1."/>
      <w:lvlJc w:val="right"/>
      <w:pPr>
        <w:ind w:left="720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BE"/>
    <w:rsid w:val="000409C5"/>
    <w:rsid w:val="0005445A"/>
    <w:rsid w:val="00077740"/>
    <w:rsid w:val="00077940"/>
    <w:rsid w:val="000D749B"/>
    <w:rsid w:val="00155C2B"/>
    <w:rsid w:val="001871C1"/>
    <w:rsid w:val="001A5925"/>
    <w:rsid w:val="001C6ECB"/>
    <w:rsid w:val="001C7BCB"/>
    <w:rsid w:val="00235A76"/>
    <w:rsid w:val="00271F63"/>
    <w:rsid w:val="0027435F"/>
    <w:rsid w:val="002B22C0"/>
    <w:rsid w:val="002D7947"/>
    <w:rsid w:val="0033747D"/>
    <w:rsid w:val="0037484C"/>
    <w:rsid w:val="003A4A4C"/>
    <w:rsid w:val="00402B06"/>
    <w:rsid w:val="00443AF2"/>
    <w:rsid w:val="004505BE"/>
    <w:rsid w:val="00462ED5"/>
    <w:rsid w:val="00466212"/>
    <w:rsid w:val="00481259"/>
    <w:rsid w:val="004D4118"/>
    <w:rsid w:val="00533898"/>
    <w:rsid w:val="005619A9"/>
    <w:rsid w:val="005970FF"/>
    <w:rsid w:val="005A7A9A"/>
    <w:rsid w:val="005F4133"/>
    <w:rsid w:val="006D1BC9"/>
    <w:rsid w:val="006D3162"/>
    <w:rsid w:val="0070446F"/>
    <w:rsid w:val="00833D84"/>
    <w:rsid w:val="0083588B"/>
    <w:rsid w:val="00861BD0"/>
    <w:rsid w:val="008B0512"/>
    <w:rsid w:val="008D3738"/>
    <w:rsid w:val="008D5374"/>
    <w:rsid w:val="008E021E"/>
    <w:rsid w:val="008E6E73"/>
    <w:rsid w:val="008F4739"/>
    <w:rsid w:val="009077ED"/>
    <w:rsid w:val="00916D46"/>
    <w:rsid w:val="00927791"/>
    <w:rsid w:val="009B1394"/>
    <w:rsid w:val="009C11B5"/>
    <w:rsid w:val="009E2DF1"/>
    <w:rsid w:val="009E702E"/>
    <w:rsid w:val="00A16895"/>
    <w:rsid w:val="00A56F46"/>
    <w:rsid w:val="00A64BAE"/>
    <w:rsid w:val="00AC54EC"/>
    <w:rsid w:val="00B34957"/>
    <w:rsid w:val="00B35F1C"/>
    <w:rsid w:val="00BB0F3F"/>
    <w:rsid w:val="00C42D3C"/>
    <w:rsid w:val="00C43558"/>
    <w:rsid w:val="00C805B0"/>
    <w:rsid w:val="00CA302F"/>
    <w:rsid w:val="00CD0023"/>
    <w:rsid w:val="00D052CB"/>
    <w:rsid w:val="00D21FFA"/>
    <w:rsid w:val="00DB3E0E"/>
    <w:rsid w:val="00E36E6E"/>
    <w:rsid w:val="00E428F5"/>
    <w:rsid w:val="00E97202"/>
    <w:rsid w:val="00EA613A"/>
    <w:rsid w:val="00F20FB6"/>
    <w:rsid w:val="00F4095D"/>
    <w:rsid w:val="00F7122C"/>
    <w:rsid w:val="00F72450"/>
    <w:rsid w:val="00F83D1C"/>
    <w:rsid w:val="00F857EC"/>
    <w:rsid w:val="00FA0AC6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3A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05BE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5">
    <w:name w:val="Font Style105"/>
    <w:uiPriority w:val="99"/>
    <w:rsid w:val="00A16895"/>
    <w:rPr>
      <w:rFonts w:ascii="Century Schoolbook" w:hAnsi="Century Schoolbook"/>
      <w:sz w:val="24"/>
    </w:rPr>
  </w:style>
  <w:style w:type="paragraph" w:customStyle="1" w:styleId="Style2">
    <w:name w:val="Style2"/>
    <w:basedOn w:val="a"/>
    <w:uiPriority w:val="99"/>
    <w:rsid w:val="00A1689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styleId="a4">
    <w:name w:val="Strong"/>
    <w:uiPriority w:val="99"/>
    <w:qFormat/>
    <w:rsid w:val="005A7A9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3A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05BE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5">
    <w:name w:val="Font Style105"/>
    <w:uiPriority w:val="99"/>
    <w:rsid w:val="00A16895"/>
    <w:rPr>
      <w:rFonts w:ascii="Century Schoolbook" w:hAnsi="Century Schoolbook"/>
      <w:sz w:val="24"/>
    </w:rPr>
  </w:style>
  <w:style w:type="paragraph" w:customStyle="1" w:styleId="Style2">
    <w:name w:val="Style2"/>
    <w:basedOn w:val="a"/>
    <w:uiPriority w:val="99"/>
    <w:rsid w:val="00A1689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styleId="a4">
    <w:name w:val="Strong"/>
    <w:uiPriority w:val="99"/>
    <w:qFormat/>
    <w:rsid w:val="005A7A9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7175</Words>
  <Characters>4090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Протокольна Частина</cp:lastModifiedBy>
  <cp:revision>2</cp:revision>
  <dcterms:created xsi:type="dcterms:W3CDTF">2021-01-19T06:38:00Z</dcterms:created>
  <dcterms:modified xsi:type="dcterms:W3CDTF">2021-01-19T06:38:00Z</dcterms:modified>
</cp:coreProperties>
</file>