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5" w:rsidRPr="00FA1170" w:rsidRDefault="000E38B5" w:rsidP="000E38B5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E38B5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Таблиця</w:t>
      </w:r>
    </w:p>
    <w:p w:rsidR="00ED76AA" w:rsidRPr="00ED76AA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6AA">
        <w:rPr>
          <w:rFonts w:ascii="Times New Roman" w:hAnsi="Times New Roman" w:cs="Times New Roman"/>
          <w:i/>
          <w:sz w:val="28"/>
          <w:szCs w:val="28"/>
        </w:rPr>
        <w:t>оцінених корупційних ризиків та заходів щодо їх усунення</w:t>
      </w:r>
    </w:p>
    <w:p w:rsidR="00ED76AA" w:rsidRPr="00ED76AA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835"/>
        <w:gridCol w:w="1985"/>
        <w:gridCol w:w="2126"/>
        <w:gridCol w:w="1843"/>
        <w:gridCol w:w="1559"/>
      </w:tblGrid>
      <w:tr w:rsidR="00FD70E4" w:rsidRPr="000E38B5" w:rsidTr="00FD70E4">
        <w:tc>
          <w:tcPr>
            <w:tcW w:w="2376" w:type="dxa"/>
          </w:tcPr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</w:p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</w:p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  <w:t>Корупційні ризики</w:t>
            </w:r>
          </w:p>
        </w:tc>
        <w:tc>
          <w:tcPr>
            <w:tcW w:w="2268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  <w:r w:rsidRPr="00FD7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  <w:t>Пріоритетність корупційного ризику, (низька, середня, висока)</w:t>
            </w:r>
          </w:p>
        </w:tc>
        <w:tc>
          <w:tcPr>
            <w:tcW w:w="2835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Заходи щодо усунення корупційних ризиків</w:t>
            </w:r>
          </w:p>
        </w:tc>
        <w:tc>
          <w:tcPr>
            <w:tcW w:w="1985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Особи, відповідальні за виконання заходу</w:t>
            </w:r>
          </w:p>
        </w:tc>
        <w:tc>
          <w:tcPr>
            <w:tcW w:w="2126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Строки виконання заходу щодо усунення корупційного ризику</w:t>
            </w:r>
          </w:p>
        </w:tc>
        <w:tc>
          <w:tcPr>
            <w:tcW w:w="1843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Ресурси для впровадження заходів</w:t>
            </w:r>
          </w:p>
        </w:tc>
        <w:tc>
          <w:tcPr>
            <w:tcW w:w="1559" w:type="dxa"/>
          </w:tcPr>
          <w:p w:rsidR="00ED76AA" w:rsidRPr="00FD70E4" w:rsidRDefault="00FD70E4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Очікувані результати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FD7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Надання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адміністративних 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</w:p>
          <w:p w:rsidR="00ED76AA" w:rsidRPr="000E38B5" w:rsidRDefault="00ED76AA" w:rsidP="00FD7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Можливість втручання третіх осіб під час здійснення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спрямованих на організацію оздоровлення та відпочинку дітей.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  <w:vAlign w:val="center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щодо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спрямованих на організацію оздоровлення та відпочинку дітей на офіційних веб-сайтах,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також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переліку документів, необхідних для відпочинку дитини.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Під час здійснення заходів щодо організації оздоровлення та відпочинку дітей залучати особу з питань запобігання та виявлення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корупції Департаменту сім’ї, молоді та спорту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сім’ї, молоді та спорту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Лемеш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126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червень 2018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FD7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B57A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1.2. </w:t>
            </w:r>
            <w:proofErr w:type="spellStart"/>
            <w:r w:rsidR="003A65B2">
              <w:rPr>
                <w:rFonts w:ascii="Times New Roman" w:hAnsi="Times New Roman" w:cs="Times New Roman"/>
                <w:sz w:val="28"/>
                <w:szCs w:val="28"/>
              </w:rPr>
              <w:t>Неврегульованність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процедури надання дозволів на проведення робіт на пам’ятках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реалізація яких може позначитися на стані пам’яток місцевого значення, їх територіальних зон охорони.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2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Прийом документів здійснювати через центр надання адміністративних послуг.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Внести пропозиції відповідному центральному органу виконавчої влади щодо р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озроблення та прийняття акта, для врегулювання процедури надання дозволів на проведення робіт на пам’ятках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реалізація яких може позначитися на стані пам’яток місцевого значення, їх територіальних зон охорони.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та архітектури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2126" w:type="dxa"/>
          </w:tcPr>
          <w:p w:rsidR="00ED76AA" w:rsidRPr="000E38B5" w:rsidRDefault="008440D2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2967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Особисте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спілкування посадової особи з кандидатами в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усиновлювачі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під час інформування про дітей, які можуть бути усиновлені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та видачі направлення для знайомства з дитиною, а саме: ненадання (приховування) повної інформації про дітей, які можуть бути усиновлені.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1D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фотокарточок та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деперсоніфікованої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про дітей, які можуть бути усиновлені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на офіційних сайтах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, «Сирітству ні» благодійного фонду «Розвиток України». Ознайомлення громадян, що мають наміри усиновити дитину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з Порядком провадження діяльності з усиновлення та здійснення нагляду за дотриманням прав усиновлених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КМУ від 08.10.2008 № 905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в мережі Інтернет та ЗМІ. Проведення особи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стого прийому відповідальним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працівником за можливості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присутності особи з питань запобігання та виявлення корупції служби у справах дітей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справах дітей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Зеленько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вересень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ресурсів не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потребує</w:t>
            </w:r>
          </w:p>
        </w:tc>
        <w:tc>
          <w:tcPr>
            <w:tcW w:w="1559" w:type="dxa"/>
          </w:tcPr>
          <w:p w:rsidR="00ED76AA" w:rsidRPr="000E38B5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усунення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D1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посадової особи при наданні консультацій щодо оформлення матеріалів проекту паспорту місць видалення відходів.</w:t>
            </w:r>
          </w:p>
        </w:tc>
        <w:tc>
          <w:tcPr>
            <w:tcW w:w="2268" w:type="dxa"/>
          </w:tcPr>
          <w:p w:rsidR="00ED76AA" w:rsidRPr="000E38B5" w:rsidRDefault="003A65B2" w:rsidP="00D1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низький</w:t>
            </w:r>
            <w:proofErr w:type="spellEnd"/>
          </w:p>
        </w:tc>
        <w:tc>
          <w:tcPr>
            <w:tcW w:w="283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Систематичне оновлення інформаційних матеріалів щодо отримання послуги, надання консультацій у письмовій формі, участь у наданні консультації особи з питань запобігання та виявлення корупції Департаменту екології та природних ресурсів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та природних ресурсів облдержадміністрації</w:t>
            </w:r>
          </w:p>
          <w:p w:rsidR="00ED76AA" w:rsidRPr="000E38B5" w:rsidRDefault="00F25BB6" w:rsidP="00E62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Т.Г.)</w:t>
            </w:r>
          </w:p>
        </w:tc>
        <w:tc>
          <w:tcPr>
            <w:tcW w:w="2126" w:type="dxa"/>
          </w:tcPr>
          <w:p w:rsidR="00ED76AA" w:rsidRPr="000E38B5" w:rsidRDefault="00F25BB6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  <w:r w:rsidR="00ED76AA"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9F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Можливість неефективного відбору осіб для участі у проекті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молодого журналіста», вплив сторонніх осіб та упередженість під час формування групи учасників проекту.</w:t>
            </w:r>
          </w:p>
        </w:tc>
        <w:tc>
          <w:tcPr>
            <w:tcW w:w="2268" w:type="dxa"/>
          </w:tcPr>
          <w:p w:rsidR="00ED76AA" w:rsidRPr="000E38B5" w:rsidRDefault="003A65B2" w:rsidP="00D1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і затвердити положення про порядок організації і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проекту «Школа молодого журналіста». Здійснювати відбір учасників проекту виключно у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встановленому положенням.</w:t>
            </w:r>
          </w:p>
        </w:tc>
        <w:tc>
          <w:tcPr>
            <w:tcW w:w="1985" w:type="dxa"/>
          </w:tcPr>
          <w:p w:rsidR="00ED76AA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</w:p>
          <w:p w:rsidR="00ED76AA" w:rsidRPr="000E38B5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громадськістю облдержадміністрації</w:t>
            </w:r>
          </w:p>
          <w:p w:rsidR="00ED76AA" w:rsidRPr="000E38B5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Подорван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червень 2018 року</w:t>
            </w:r>
          </w:p>
        </w:tc>
        <w:tc>
          <w:tcPr>
            <w:tcW w:w="1843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3A65B2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402D3E" w:rsidRDefault="00ED76AA" w:rsidP="00F12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40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F1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02D3E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роведення процедур закупівель</w:t>
            </w:r>
          </w:p>
          <w:p w:rsidR="00ED76AA" w:rsidRPr="000E38B5" w:rsidRDefault="00ED76AA" w:rsidP="00AD1422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Включення недостовірних даних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бюджетних запитів головними розпорядниками коштів місцевих бюджетів з метою отримання більшого обсягу бюджетних коштів для окремих розпорядників коштів або одержувачів,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створює перевагу у забезпеченні фінансовими ресурсами у порівнянні з іншими розпорядниками коштів або одержувачами та зловживання посадовими особами розпорядників коштів різних рівнів при визначенні обсягів запланованих видатків.   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F74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аналізу бюджетного запиту, поданого головним розпорядником коштів щодо його відповідності меті, пріоритетності, а також дієвості та ефективності використання бюджетних коштів.</w:t>
            </w:r>
          </w:p>
        </w:tc>
        <w:tc>
          <w:tcPr>
            <w:tcW w:w="1985" w:type="dxa"/>
          </w:tcPr>
          <w:p w:rsidR="00ED76AA" w:rsidRPr="00402D3E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облдержадміністрації</w:t>
            </w:r>
          </w:p>
          <w:p w:rsidR="00ED76AA" w:rsidRPr="000E38B5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  <w:proofErr w:type="spellEnd"/>
            <w:r w:rsidRPr="00402D3E">
              <w:rPr>
                <w:rFonts w:ascii="Times New Roman" w:hAnsi="Times New Roman" w:cs="Times New Roman"/>
                <w:sz w:val="28"/>
                <w:szCs w:val="28"/>
              </w:rPr>
              <w:t xml:space="preserve"> В.В)</w:t>
            </w:r>
          </w:p>
        </w:tc>
        <w:tc>
          <w:tcPr>
            <w:tcW w:w="2126" w:type="dxa"/>
          </w:tcPr>
          <w:p w:rsidR="00ED76AA" w:rsidRPr="00402D3E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грудень 2018</w:t>
            </w:r>
          </w:p>
          <w:p w:rsidR="00ED76AA" w:rsidRPr="000E38B5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A33E10" w:rsidRDefault="00ED76AA" w:rsidP="00A3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Недосконалість процедури процесу складання бюджетних запитів посадовими особами розпорядників коштів різних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рівнів при визначені обсягів запланованих видатків.</w:t>
            </w:r>
          </w:p>
        </w:tc>
        <w:tc>
          <w:tcPr>
            <w:tcW w:w="2268" w:type="dxa"/>
          </w:tcPr>
          <w:p w:rsidR="00ED76AA" w:rsidRPr="000E38B5" w:rsidRDefault="003A65B2" w:rsidP="00A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AD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Залучити до роботи по формуванню бюджетних запитів представників громадських організацій, скласти протокол засідання робочої групи.</w:t>
            </w:r>
          </w:p>
          <w:p w:rsidR="00ED76AA" w:rsidRPr="000E38B5" w:rsidRDefault="00ED76AA" w:rsidP="00AD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пропозиції відповідному органу центральної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виконавчої влади щодо прийняття нормативно-правового акту для врегулювання даної процедури. </w:t>
            </w:r>
          </w:p>
        </w:tc>
        <w:tc>
          <w:tcPr>
            <w:tcW w:w="1985" w:type="dxa"/>
          </w:tcPr>
          <w:p w:rsidR="00ED76AA" w:rsidRDefault="00ED76AA" w:rsidP="00E72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 питань цивільного захисту та оборонної роботи облдержадміністрації</w:t>
            </w:r>
          </w:p>
          <w:p w:rsidR="00ED76AA" w:rsidRPr="008440D2" w:rsidRDefault="008440D2" w:rsidP="0084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0D2">
              <w:rPr>
                <w:rFonts w:ascii="Times New Roman" w:hAnsi="Times New Roman" w:cs="Times New Roman"/>
                <w:sz w:val="24"/>
                <w:szCs w:val="24"/>
              </w:rPr>
              <w:t>Болдирев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AA" w:rsidRPr="008440D2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2126" w:type="dxa"/>
          </w:tcPr>
          <w:p w:rsidR="00ED76AA" w:rsidRPr="000E38B5" w:rsidRDefault="008440D2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886970" w:rsidRDefault="00ED76AA" w:rsidP="00A7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процедур закупівель товарів за бюджетні кошти на суму, що не перевищує 200 тис. грн. </w:t>
            </w:r>
          </w:p>
        </w:tc>
        <w:tc>
          <w:tcPr>
            <w:tcW w:w="2268" w:type="dxa"/>
          </w:tcPr>
          <w:p w:rsidR="00ED76AA" w:rsidRPr="000E38B5" w:rsidRDefault="003A65B2" w:rsidP="0088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A92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пропозиції відповідному центральному органу виконавчої влади щодо належного врегулювання процедури допорогових закупівель та здійснення її виключно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462A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використанням системи електронних закупівель </w:t>
            </w:r>
            <w:proofErr w:type="spellStart"/>
            <w:r w:rsidRPr="00462A6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ProZorro</w:t>
            </w:r>
            <w:proofErr w:type="spellEnd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985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облдержадміністрації 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Гармаш П.П.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C361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361BC">
              <w:rPr>
                <w:rFonts w:ascii="Times New Roman" w:hAnsi="Times New Roman" w:cs="Times New Roman"/>
                <w:b/>
                <w:sz w:val="28"/>
                <w:szCs w:val="28"/>
              </w:rPr>
              <w:t>Ліцензу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вання та дозвільна діяльність</w:t>
            </w:r>
          </w:p>
          <w:p w:rsidR="00ED76AA" w:rsidRPr="00C361BC" w:rsidRDefault="00ED76AA" w:rsidP="00CD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Можливий вплив сторонніх осіб при проведенні акредитації лікувально-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профілактичних закладів </w:t>
            </w:r>
          </w:p>
        </w:tc>
        <w:tc>
          <w:tcPr>
            <w:tcW w:w="2268" w:type="dxa"/>
          </w:tcPr>
          <w:p w:rsidR="00ED76AA" w:rsidRPr="000E38B5" w:rsidRDefault="003A65B2" w:rsidP="009B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Опублікувати на сайті чітку процедуру проведення/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прохо-дження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акредитації.</w:t>
            </w:r>
          </w:p>
          <w:p w:rsidR="00ED76AA" w:rsidRPr="000E38B5" w:rsidRDefault="00ED76AA" w:rsidP="00CD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роз’яснювальну роботу з членами експертної комісії,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попередити про передбачену законодавством відповідальність, за можливості до складу експертної комісії включити особу з питань запобігання та виявлення корупції 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облдержадміністра-ції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</w:tcPr>
          <w:p w:rsidR="00ED76AA" w:rsidRDefault="00ED76AA" w:rsidP="00F0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ED76AA" w:rsidRPr="000E38B5" w:rsidRDefault="00ED76AA" w:rsidP="00F0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Гармаш П.П.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2018 </w:t>
            </w: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F0495D" w:rsidRDefault="00ED76AA" w:rsidP="00EB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заявника з посадовою особою щодо отримання довідок соціально-правового характеру, майнових довідок та довідок генеалогічного характеру.</w:t>
            </w:r>
          </w:p>
        </w:tc>
        <w:tc>
          <w:tcPr>
            <w:tcW w:w="2268" w:type="dxa"/>
          </w:tcPr>
          <w:p w:rsidR="00ED76AA" w:rsidRPr="000E38B5" w:rsidRDefault="003A65B2" w:rsidP="00F0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EB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на офіційному веб-сайті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Держархіву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області електронної системи подачі заяв, надавати на додаткове опрацювання матеріали особі з питань запобігання та виявлення корупції Державного архіву області. </w:t>
            </w:r>
          </w:p>
        </w:tc>
        <w:tc>
          <w:tcPr>
            <w:tcW w:w="1985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архів області</w:t>
            </w:r>
          </w:p>
          <w:p w:rsidR="00ED76AA" w:rsidRPr="000E38B5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2126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2018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Можливі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втручання третіх осіб при встановлені (регулюванні) цін (тарифів) на паливно-енергетичні ресурси, що відпускаються населенню для побутових потреб.</w:t>
            </w:r>
          </w:p>
          <w:p w:rsidR="00ED76AA" w:rsidRPr="0050034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із службовою особою суб’єкта господарювання при наданні розрахункових матеріалів для встановлення цін (тарифів).</w:t>
            </w:r>
          </w:p>
        </w:tc>
        <w:tc>
          <w:tcPr>
            <w:tcW w:w="2268" w:type="dxa"/>
          </w:tcPr>
          <w:p w:rsidR="00ED76AA" w:rsidRPr="000E38B5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Публічне висвітлення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 щодо регулювання (встановлення) цін (тарифів) на офіційному веб-сайті облдержадміністрації в розділі Консультації з громадськістю/ Електронні консультації з громадськістю.</w:t>
            </w:r>
          </w:p>
          <w:p w:rsidR="00ED76AA" w:rsidRPr="000E38B5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Ініціювати на загальнодержавному рівні затвердження Порядку розгляду та встановлення цін (тарифів), що підлягають державному регулюванню.</w:t>
            </w:r>
          </w:p>
        </w:tc>
        <w:tc>
          <w:tcPr>
            <w:tcW w:w="1985" w:type="dxa"/>
          </w:tcPr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економічного розвитку облдержадміністрації</w:t>
            </w:r>
          </w:p>
          <w:p w:rsidR="00ED76AA" w:rsidRPr="00462A64" w:rsidRDefault="008440D2" w:rsidP="00462A64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Хомик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О.Д.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червень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року </w:t>
            </w: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ресурсів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усунення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B57AC1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Особисте спілкування споживача послуги з посадовою особою при отриманні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ліцензій на провадження господарської діяльності з виробництва, постачання, транспортування теплової енергії та на провадження господарської діяльності з водопостачання та водовідведення. 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97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Розмістити інформацію про надання послуги та перелік документів для отримання послуги на офіційному веб-сайті,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пропозиції Міністерству регіонального будівництва та житлово-комунального господарства України щодо створення та впровадження електронної системи подачі документів та заяв щодо питань ліцензування у сфері теплопостачання, водопостачання та водовідведення. Розміщувати зразки документів на офіційних веб-сайтах Департаменту </w:t>
            </w:r>
          </w:p>
        </w:tc>
        <w:tc>
          <w:tcPr>
            <w:tcW w:w="1985" w:type="dxa"/>
          </w:tcPr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2018 року 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3.5. Можливий вплив сторонніх осіб або представників підприємств-ліцензіатів на рішення комісії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планових та позапланових перевірок підприємств-ліцензіатів.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проведення перевірки підприємств-ліцензіатів з дотриманням прозорості та публічності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комісійно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надавати на додаткове опрацювання матеріали особі з питань запобігання та виявлення корупції Департаменту ЖКГ та ПЕК облдержадміністрації</w:t>
            </w:r>
          </w:p>
        </w:tc>
        <w:tc>
          <w:tcPr>
            <w:tcW w:w="1985" w:type="dxa"/>
          </w:tcPr>
          <w:p w:rsidR="00ED76AA" w:rsidRDefault="00ED76AA" w:rsidP="00D10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D10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року 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232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 Вплив сторонніх осіб на рішення комісії (через вплив на окремих її членів).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Департаменту ЖКГ та ПЕК облдержадміністрації забезпечити публічне висвітлення заходів щодо роботи тимчасових та постійних діючих комісій. Проекти рішень, протоколи розміщувати на офіційних веб-сайтах.</w:t>
            </w:r>
          </w:p>
          <w:p w:rsidR="00ED76AA" w:rsidRDefault="00ED76AA" w:rsidP="00232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Залучити представників профільних інститутів громадянського суспільства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комісій, надавати на додаткове опрацювання матеріали особі з питань запобігання та виявлення корупції Департаменту ЖКГ та ПЕК облдержадміністрації</w:t>
            </w:r>
          </w:p>
        </w:tc>
        <w:tc>
          <w:tcPr>
            <w:tcW w:w="1985" w:type="dxa"/>
          </w:tcPr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2018 року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Управління персоналом</w:t>
            </w:r>
          </w:p>
          <w:p w:rsidR="00ED76AA" w:rsidRPr="00F55DA4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Вплив сторонніх осіб на прийняття рішення конкурсною комісією щодо визначення переможця конкурсу на заняття вакантної посади на користь того чи іншого кандидата 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облдержадміністр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ації.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 прийняття рішення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виключно через утворену комісію, надавати на додаткове опрацювання матеріали особі з питань запобігання та виявлення корупції Управління освіти і науки облдержадміністрації </w:t>
            </w:r>
          </w:p>
        </w:tc>
        <w:tc>
          <w:tcPr>
            <w:tcW w:w="1985" w:type="dxa"/>
          </w:tcPr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професійної вищої освіти, науки та по роботі з персоналом Управління освіти і науки облдержадміністрації</w:t>
            </w:r>
          </w:p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Глузд В.І. </w:t>
            </w:r>
          </w:p>
        </w:tc>
        <w:tc>
          <w:tcPr>
            <w:tcW w:w="2126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2018 року</w:t>
            </w:r>
          </w:p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B95DE6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 Можливий вплив сторонніх осіб під час відбору кандидатур для нагородження відомчими заохочувальними відзнаками Міністерства освіти і науки України, державними нагородами в Управлінні освіти і науки облдержадміністрації.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публічне прийняття рішення конкурсною комісією, включити до складу комісії та надавати на додаткове опрацювання матеріали особі з питань запобігання та виявлення корупції Управління освіти і науки облдержадміністрації.</w:t>
            </w:r>
          </w:p>
        </w:tc>
        <w:tc>
          <w:tcPr>
            <w:tcW w:w="1985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професійної вищої освіти, науки та по роботі з персоналом Управління освіти і науки облдержадміністрації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Глузд В.І.</w:t>
            </w:r>
          </w:p>
        </w:tc>
        <w:tc>
          <w:tcPr>
            <w:tcW w:w="2126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2018 року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Можливість впливу сторонніх осіб під час прийняття та оформлення документів щодо нагородження державними та урядовими нагородами.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Надавати на додаткове опрацювання матеріали щодо нагородження головному спеціалісту з питань запобігання та виявлення корупції апарату </w:t>
            </w:r>
            <w:r w:rsidRPr="00C73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облдержадміністрації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по роботі з персоналом апарату облдержадміністрації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Можливість впливу посадових осіб або інших осіб (членів конкурсної комісії) на результати другого етапу конкурсу на зайняття посади державної служби шляхом попереднього ознайомлення з обраними варіантами ситуаційного завдання, не доброчесність членів конкурсної комісії.</w:t>
            </w:r>
          </w:p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 Можливість впливу члена або голови конкурсної комісії на прийняття 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 іншого рішення.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публікацію на сайті інформації щодо кожного етапу конкурсного відбору – списків осіб, які беруть участь у конкурсі, із зазначенням інформації про їх допущення до наступного етапу відбору, залучати до конкурсних комісій головного спеціаліста з питань запобігання та виявлення корупції апарату </w:t>
            </w:r>
            <w:r w:rsidRPr="00C73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по роботі з персоналом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Організація роботи щодо запобігання та виявлення корупції.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Можливе покладання на особу з питань запобігання та виявлення корупції функцій та завдань,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що не належать до його службових обов’язків або виходять за межі повноважень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 обмежують виконання покладених на нього завдань.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Непрозоре проведення оцінки корупційних ризиків у структурних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підрозділах облдержадміністрації. 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2C0385">
              <w:rPr>
                <w:rFonts w:ascii="Times New Roman" w:hAnsi="Times New Roman" w:cs="Times New Roman"/>
                <w:sz w:val="28"/>
                <w:szCs w:val="28"/>
              </w:rPr>
              <w:t>Можливість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алучення некваліфікованих посадових осіб до роботи комісії з оцінки корупційних ризиків.</w:t>
            </w:r>
          </w:p>
          <w:p w:rsidR="00ED76AA" w:rsidRPr="00820ADC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Недоброчесність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посадових осіб, які здійснюють ідентифікацію та оцінку корупційних ризиків структурних підрозділів облдержадміністрації.</w:t>
            </w:r>
          </w:p>
        </w:tc>
        <w:tc>
          <w:tcPr>
            <w:tcW w:w="2268" w:type="dxa"/>
          </w:tcPr>
          <w:p w:rsidR="00ED76AA" w:rsidRDefault="003A65B2" w:rsidP="00FD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навчання, тренінги згідно з графіком із доведення типових ситуацій щодо порушення антикорупційного законодавства з розглядом рішення Національного агентства з питань запобігання корупції від 28.12.2017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1531 «Приклади корупційних ризиків, а також заходів щодо їх усунення (мінімізації)», під час яких попередити про персональну відповідальність за порушення законодавства із зазначенням статей нормативно-правових актів, якими така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відповідальність встановлена, та санкцій, які вона передбачає. 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Головний спеціаліст з питань запобігання та виявлення корупції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Вересоцький І.В.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2018 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</w:t>
            </w:r>
            <w:r w:rsidR="00C42E1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E12">
              <w:rPr>
                <w:rFonts w:ascii="Times New Roman" w:hAnsi="Times New Roman" w:cs="Times New Roman"/>
                <w:sz w:val="28"/>
                <w:szCs w:val="28"/>
              </w:rPr>
              <w:t>корупційних ризиків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Управління фінансами та матеріальними ресурсами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Недостатня урегульованість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процедури встановлення надбавок та вирішення щодо преміювання працівників</w:t>
            </w:r>
          </w:p>
          <w:p w:rsidR="00ED76AA" w:rsidRPr="00E23D92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Дискреційні повноваження щодо встановлення надбавок та премій.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та затвердити внутрішній акт, що передбачатиме процедури встановлення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надбавок та вирішення питань щодо преміювання працівників.</w:t>
            </w:r>
          </w:p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прийняття рішення щодо преміювання, встановлення надбавки залучати представників профспілок.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фінансового забезпечення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ED76AA" w:rsidRPr="00ED76AA" w:rsidRDefault="008440D2" w:rsidP="00ED7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9A5941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6.3. Можлива виплата стимулюючих виплат (премій, надбавок) у необґрунтованих розмірах. </w:t>
            </w:r>
          </w:p>
        </w:tc>
        <w:tc>
          <w:tcPr>
            <w:tcW w:w="2268" w:type="dxa"/>
          </w:tcPr>
          <w:p w:rsidR="00ED76AA" w:rsidRPr="000E38B5" w:rsidRDefault="003A65B2" w:rsidP="00D5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483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та затвердити відповідне положення щодо преміювання та встановлення надбавок, рішення щодо виплати стимулюючих виплат (премій, надбавок) приймати колегіально на засіданнях трудового колективу із залученням особи з питань запобігання та виявлення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корупції Департаменту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облдержадмініст-рації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 необхідності погоджувати з обласною державною адміністрацією.</w:t>
            </w:r>
          </w:p>
        </w:tc>
        <w:tc>
          <w:tcPr>
            <w:tcW w:w="1985" w:type="dxa"/>
          </w:tcPr>
          <w:p w:rsidR="00ED76AA" w:rsidRPr="00462A64" w:rsidRDefault="00ED76AA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соціального захисту населення облдержадміністрації</w:t>
            </w:r>
          </w:p>
          <w:p w:rsidR="00ED76AA" w:rsidRPr="000E38B5" w:rsidRDefault="00ED76AA" w:rsidP="0001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Русін</w:t>
            </w:r>
            <w:proofErr w:type="spellEnd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 Юридична робота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Ймовірність впливу зацікавлених осіб на представників Чернігівської обласної державної адміністрації в особі працівників юридичного відділу апарату обласної державної адміністрації в суді під час підготовки документів або безпосередньо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представництва інтересів обласної державної адміністрації.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01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зміни у довіреності, видані обласною державною адміністрацією працівникам юридичного відділу апарату, з метою встановлення обмежень щодо визнання та відмови від позовів, а також укладення мирової угоди. 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Юридичний відділ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Мужикова Н.М.</w:t>
            </w:r>
          </w:p>
        </w:tc>
        <w:tc>
          <w:tcPr>
            <w:tcW w:w="2126" w:type="dxa"/>
          </w:tcPr>
          <w:p w:rsidR="00ED76AA" w:rsidRDefault="008440D2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 року 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</w:tbl>
    <w:p w:rsidR="002A5464" w:rsidRDefault="002A546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8C35A9">
      <w:pPr>
        <w:tabs>
          <w:tab w:val="left" w:pos="709"/>
        </w:tabs>
        <w:ind w:firstLine="851"/>
        <w:jc w:val="both"/>
        <w:rPr>
          <w:b/>
          <w:color w:val="000000"/>
          <w:szCs w:val="28"/>
          <w:lang w:val="ru-RU"/>
        </w:rPr>
      </w:pPr>
    </w:p>
    <w:p w:rsidR="008C35A9" w:rsidRDefault="008C35A9" w:rsidP="008C35A9">
      <w:pPr>
        <w:tabs>
          <w:tab w:val="left" w:pos="709"/>
        </w:tabs>
        <w:jc w:val="both"/>
        <w:rPr>
          <w:b/>
          <w:color w:val="000000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0E4" w:rsidRDefault="00FD70E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0E4" w:rsidRDefault="00FD70E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Pr="00FA1170" w:rsidRDefault="00FA1170" w:rsidP="00FA1170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170">
        <w:rPr>
          <w:rFonts w:ascii="Times New Roman" w:eastAsia="Calibri" w:hAnsi="Times New Roman" w:cs="Times New Roman"/>
          <w:sz w:val="28"/>
          <w:szCs w:val="28"/>
        </w:rPr>
        <w:t xml:space="preserve">Головний спеціаліст з  питань </w:t>
      </w:r>
    </w:p>
    <w:p w:rsidR="00FA1170" w:rsidRPr="00FA1170" w:rsidRDefault="00FA1170" w:rsidP="00FA1170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170">
        <w:rPr>
          <w:rFonts w:ascii="Times New Roman" w:eastAsia="Calibri" w:hAnsi="Times New Roman" w:cs="Times New Roman"/>
          <w:sz w:val="28"/>
          <w:szCs w:val="28"/>
        </w:rPr>
        <w:t xml:space="preserve">запобігання та виявлення корупції </w:t>
      </w:r>
    </w:p>
    <w:p w:rsidR="00FA1170" w:rsidRPr="00FA1170" w:rsidRDefault="00FA1170" w:rsidP="00FA1170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1170">
        <w:rPr>
          <w:rFonts w:ascii="Times New Roman" w:eastAsia="Calibri" w:hAnsi="Times New Roman" w:cs="Times New Roman"/>
          <w:sz w:val="28"/>
          <w:szCs w:val="28"/>
        </w:rPr>
        <w:t xml:space="preserve">апарату облдержадміністрації                                            </w:t>
      </w:r>
      <w:r w:rsidR="008C35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FA117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FA1170">
        <w:rPr>
          <w:rFonts w:ascii="Times New Roman" w:eastAsia="Calibri" w:hAnsi="Times New Roman" w:cs="Times New Roman"/>
          <w:sz w:val="28"/>
          <w:szCs w:val="28"/>
        </w:rPr>
        <w:t xml:space="preserve">     І.В. Вересоцький</w:t>
      </w: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A1170" w:rsidSect="009F1361">
      <w:foot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3C" w:rsidRDefault="004A153C" w:rsidP="002A5464">
      <w:pPr>
        <w:spacing w:after="0" w:line="240" w:lineRule="auto"/>
      </w:pPr>
      <w:r>
        <w:separator/>
      </w:r>
    </w:p>
  </w:endnote>
  <w:endnote w:type="continuationSeparator" w:id="0">
    <w:p w:rsidR="004A153C" w:rsidRDefault="004A153C" w:rsidP="002A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64" w:rsidRPr="002A5464" w:rsidRDefault="002A5464" w:rsidP="002A5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3C" w:rsidRDefault="004A153C" w:rsidP="002A5464">
      <w:pPr>
        <w:spacing w:after="0" w:line="240" w:lineRule="auto"/>
      </w:pPr>
      <w:r>
        <w:separator/>
      </w:r>
    </w:p>
  </w:footnote>
  <w:footnote w:type="continuationSeparator" w:id="0">
    <w:p w:rsidR="004A153C" w:rsidRDefault="004A153C" w:rsidP="002A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53B9"/>
    <w:multiLevelType w:val="hybridMultilevel"/>
    <w:tmpl w:val="8E249870"/>
    <w:lvl w:ilvl="0" w:tplc="01A46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5"/>
    <w:rsid w:val="0001602D"/>
    <w:rsid w:val="000E38B5"/>
    <w:rsid w:val="0013541B"/>
    <w:rsid w:val="00151FFA"/>
    <w:rsid w:val="00156B84"/>
    <w:rsid w:val="00173269"/>
    <w:rsid w:val="001A4C48"/>
    <w:rsid w:val="001D3D79"/>
    <w:rsid w:val="001F648A"/>
    <w:rsid w:val="00232D37"/>
    <w:rsid w:val="00290009"/>
    <w:rsid w:val="002953B8"/>
    <w:rsid w:val="0029675E"/>
    <w:rsid w:val="002A5464"/>
    <w:rsid w:val="002B27F3"/>
    <w:rsid w:val="002C0385"/>
    <w:rsid w:val="003130F0"/>
    <w:rsid w:val="00334A66"/>
    <w:rsid w:val="003A65B2"/>
    <w:rsid w:val="00402D3E"/>
    <w:rsid w:val="00415740"/>
    <w:rsid w:val="00462A64"/>
    <w:rsid w:val="00463795"/>
    <w:rsid w:val="00483EC7"/>
    <w:rsid w:val="00492E68"/>
    <w:rsid w:val="004A153C"/>
    <w:rsid w:val="004F56C1"/>
    <w:rsid w:val="0050034A"/>
    <w:rsid w:val="00654662"/>
    <w:rsid w:val="00674835"/>
    <w:rsid w:val="00707A5B"/>
    <w:rsid w:val="00716716"/>
    <w:rsid w:val="0073109C"/>
    <w:rsid w:val="00820ADC"/>
    <w:rsid w:val="008440D2"/>
    <w:rsid w:val="00886970"/>
    <w:rsid w:val="00896720"/>
    <w:rsid w:val="008A3848"/>
    <w:rsid w:val="008C35A9"/>
    <w:rsid w:val="008F4402"/>
    <w:rsid w:val="008F6C1E"/>
    <w:rsid w:val="009154F7"/>
    <w:rsid w:val="00922922"/>
    <w:rsid w:val="00970A54"/>
    <w:rsid w:val="009944FE"/>
    <w:rsid w:val="009A5941"/>
    <w:rsid w:val="009B19E5"/>
    <w:rsid w:val="009B500E"/>
    <w:rsid w:val="009C20B1"/>
    <w:rsid w:val="009E2D0A"/>
    <w:rsid w:val="009F1361"/>
    <w:rsid w:val="00A10C0A"/>
    <w:rsid w:val="00A33E10"/>
    <w:rsid w:val="00A507F7"/>
    <w:rsid w:val="00A61D09"/>
    <w:rsid w:val="00A760E7"/>
    <w:rsid w:val="00A87A94"/>
    <w:rsid w:val="00A92961"/>
    <w:rsid w:val="00AD1422"/>
    <w:rsid w:val="00AD6256"/>
    <w:rsid w:val="00B07313"/>
    <w:rsid w:val="00B11031"/>
    <w:rsid w:val="00B30F41"/>
    <w:rsid w:val="00B37728"/>
    <w:rsid w:val="00B57AC1"/>
    <w:rsid w:val="00B7754A"/>
    <w:rsid w:val="00B95DE6"/>
    <w:rsid w:val="00B969F9"/>
    <w:rsid w:val="00C361BC"/>
    <w:rsid w:val="00C42E12"/>
    <w:rsid w:val="00C73F07"/>
    <w:rsid w:val="00C943F7"/>
    <w:rsid w:val="00CD0756"/>
    <w:rsid w:val="00CD701B"/>
    <w:rsid w:val="00CD726A"/>
    <w:rsid w:val="00D02128"/>
    <w:rsid w:val="00D10C99"/>
    <w:rsid w:val="00D25BE0"/>
    <w:rsid w:val="00DA1E64"/>
    <w:rsid w:val="00E23D92"/>
    <w:rsid w:val="00E627A6"/>
    <w:rsid w:val="00E70624"/>
    <w:rsid w:val="00E7249F"/>
    <w:rsid w:val="00EB3780"/>
    <w:rsid w:val="00ED76AA"/>
    <w:rsid w:val="00EE0B71"/>
    <w:rsid w:val="00F0495D"/>
    <w:rsid w:val="00F12B37"/>
    <w:rsid w:val="00F206F2"/>
    <w:rsid w:val="00F25BB6"/>
    <w:rsid w:val="00F55DA4"/>
    <w:rsid w:val="00F747A0"/>
    <w:rsid w:val="00FA1170"/>
    <w:rsid w:val="00FB182F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464"/>
    <w:rPr>
      <w:lang w:val="uk-UA"/>
    </w:rPr>
  </w:style>
  <w:style w:type="paragraph" w:styleId="a6">
    <w:name w:val="footer"/>
    <w:basedOn w:val="a"/>
    <w:link w:val="a7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46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11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464"/>
    <w:rPr>
      <w:lang w:val="uk-UA"/>
    </w:rPr>
  </w:style>
  <w:style w:type="paragraph" w:styleId="a6">
    <w:name w:val="footer"/>
    <w:basedOn w:val="a"/>
    <w:link w:val="a7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46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11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63EA-2A04-49E6-BEB0-96544E91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10426</Words>
  <Characters>5943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2018-02-19T14:25:00Z</cp:lastPrinted>
  <dcterms:created xsi:type="dcterms:W3CDTF">2018-05-04T06:20:00Z</dcterms:created>
  <dcterms:modified xsi:type="dcterms:W3CDTF">2018-05-04T06:20:00Z</dcterms:modified>
</cp:coreProperties>
</file>